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AB443" w14:textId="77777777" w:rsidR="00535F0A" w:rsidRPr="00510B8C" w:rsidRDefault="00535F0A" w:rsidP="00535F0A">
      <w:pPr>
        <w:spacing w:after="0"/>
        <w:jc w:val="both"/>
        <w:rPr>
          <w:sz w:val="26"/>
          <w:szCs w:val="26"/>
          <w:u w:val="single"/>
        </w:rPr>
      </w:pPr>
      <w:r w:rsidRPr="00510B8C">
        <w:rPr>
          <w:sz w:val="26"/>
          <w:szCs w:val="26"/>
          <w:u w:val="single"/>
        </w:rPr>
        <w:t xml:space="preserve">General supporting documents and procedure for granting national D type visas </w:t>
      </w:r>
    </w:p>
    <w:p w14:paraId="1AF24748" w14:textId="77777777" w:rsidR="00535F0A" w:rsidRPr="00F92DCE" w:rsidRDefault="00535F0A" w:rsidP="00535F0A">
      <w:pPr>
        <w:spacing w:after="0"/>
        <w:jc w:val="both"/>
      </w:pPr>
      <w:r w:rsidRPr="00535F0A">
        <w:rPr>
          <w:sz w:val="20"/>
        </w:rPr>
        <w:t>(In accordance with Law 5038/2023 and with the Ministerial Decision No 22343/2024</w:t>
      </w:r>
      <w:r>
        <w:t>)</w:t>
      </w:r>
    </w:p>
    <w:p w14:paraId="279AD9DD" w14:textId="5509427C" w:rsidR="00DD5E03" w:rsidRDefault="008F6B31"/>
    <w:p w14:paraId="4BC05192" w14:textId="77777777" w:rsidR="00535F0A" w:rsidRDefault="00535F0A" w:rsidP="00535F0A">
      <w:pPr>
        <w:jc w:val="both"/>
      </w:pPr>
      <w:r w:rsidRPr="00535F0A">
        <w:rPr>
          <w:u w:val="single"/>
        </w:rPr>
        <w:t>Definition</w:t>
      </w:r>
      <w:r>
        <w:t>:</w:t>
      </w:r>
      <w:r w:rsidRPr="00535F0A">
        <w:t xml:space="preserve"> </w:t>
      </w:r>
    </w:p>
    <w:p w14:paraId="164C2220" w14:textId="25AC181B" w:rsidR="00535F0A" w:rsidRDefault="00535F0A" w:rsidP="00535F0A">
      <w:pPr>
        <w:jc w:val="both"/>
      </w:pPr>
      <w:r w:rsidRPr="00535F0A">
        <w:t>A long-stay visa (national visa – Type D) is the authorization granted by the competent Greek authorities for the entry and stay of third-country nationals in Greek territory, for a period exceeding 90 days and up to 365 days, in accordance with national legislation or EU law provisions regarding the residence status of third-country nationals.</w:t>
      </w:r>
    </w:p>
    <w:p w14:paraId="56258778" w14:textId="77777777" w:rsidR="00535F0A" w:rsidRDefault="00535F0A" w:rsidP="00535F0A">
      <w:pPr>
        <w:jc w:val="both"/>
      </w:pPr>
    </w:p>
    <w:p w14:paraId="05D83606" w14:textId="77777777" w:rsidR="00535F0A" w:rsidRDefault="00535F0A" w:rsidP="00535F0A">
      <w:pPr>
        <w:jc w:val="both"/>
      </w:pPr>
      <w:r w:rsidRPr="00535F0A">
        <w:rPr>
          <w:u w:val="single"/>
        </w:rPr>
        <w:t>Competent Authority</w:t>
      </w:r>
      <w:r>
        <w:rPr>
          <w:u w:val="single"/>
        </w:rPr>
        <w:t>:</w:t>
      </w:r>
      <w:r w:rsidRPr="00535F0A">
        <w:t xml:space="preserve"> </w:t>
      </w:r>
    </w:p>
    <w:p w14:paraId="58AE6AE1" w14:textId="1DF97AB3" w:rsidR="00535F0A" w:rsidRDefault="00535F0A" w:rsidP="00535F0A">
      <w:pPr>
        <w:jc w:val="both"/>
      </w:pPr>
      <w:r w:rsidRPr="00535F0A">
        <w:t>The competent authority for issuing national entry visas is the Greek diplomatic or consular authority.</w:t>
      </w:r>
      <w:r>
        <w:t xml:space="preserve"> </w:t>
      </w:r>
      <w:r w:rsidRPr="00535F0A">
        <w:t xml:space="preserve">The national entry visa application shall be examined by the consular authority within whose jurisdiction the applicant legally resides. This authority decides whether to issue the visa or not. The consular authority shall also examine applications submitted by third-country nationals who are legally present but not residing within its jurisdiction and shall </w:t>
      </w:r>
      <w:bookmarkStart w:id="0" w:name="_GoBack"/>
      <w:bookmarkEnd w:id="0"/>
      <w:r w:rsidRPr="00535F0A">
        <w:t>make a decision on them, provided the applicants have presented sufficient reasons for submitting the application to that consular authority.</w:t>
      </w:r>
    </w:p>
    <w:p w14:paraId="1A307293" w14:textId="77777777" w:rsidR="00535F0A" w:rsidRDefault="00535F0A" w:rsidP="00535F0A">
      <w:pPr>
        <w:jc w:val="both"/>
      </w:pPr>
    </w:p>
    <w:p w14:paraId="72F46AA4" w14:textId="77777777" w:rsidR="00535F0A" w:rsidRDefault="00535F0A" w:rsidP="00535F0A">
      <w:pPr>
        <w:jc w:val="both"/>
      </w:pPr>
      <w:r w:rsidRPr="00535F0A">
        <w:rPr>
          <w:u w:val="single"/>
        </w:rPr>
        <w:t>Submission and examination of the application</w:t>
      </w:r>
      <w:r>
        <w:t xml:space="preserve">: </w:t>
      </w:r>
    </w:p>
    <w:p w14:paraId="50629C02" w14:textId="188212EF" w:rsidR="00535F0A" w:rsidRDefault="00535F0A" w:rsidP="00535F0A">
      <w:pPr>
        <w:jc w:val="both"/>
      </w:pPr>
      <w:r w:rsidRPr="00535F0A">
        <w:t>The national visa is issued regardless of whether the applicant is subject to visa requirements under Regulation (EC) No 539/2001 of the Council of the European Union of March 15</w:t>
      </w:r>
      <w:r w:rsidRPr="00535F0A">
        <w:rPr>
          <w:vertAlign w:val="superscript"/>
        </w:rPr>
        <w:t>th</w:t>
      </w:r>
      <w:r w:rsidRPr="00535F0A">
        <w:t xml:space="preserve"> 2001, as amended and in force, and does not confer an irrevocable right of entry to its holder.</w:t>
      </w:r>
    </w:p>
    <w:p w14:paraId="7C594FA9" w14:textId="4AB97684" w:rsidR="00C6400C" w:rsidRDefault="00535F0A" w:rsidP="00C6400C">
      <w:pPr>
        <w:jc w:val="both"/>
      </w:pPr>
      <w:r w:rsidRPr="00535F0A">
        <w:t>The applicant must appear in person at the competent consular authority and:</w:t>
      </w:r>
    </w:p>
    <w:p w14:paraId="5CF2FBAC" w14:textId="77777777" w:rsidR="00C6400C" w:rsidRDefault="00535F0A" w:rsidP="00C6400C">
      <w:pPr>
        <w:pStyle w:val="ListParagraph"/>
        <w:numPr>
          <w:ilvl w:val="0"/>
          <w:numId w:val="2"/>
        </w:numPr>
      </w:pPr>
      <w:r>
        <w:t>s</w:t>
      </w:r>
      <w:r w:rsidRPr="00535F0A">
        <w:t xml:space="preserve">ubmit a complete application along with the required general documents as </w:t>
      </w:r>
      <w:r w:rsidR="00302D42" w:rsidRPr="00535F0A">
        <w:t>stipulated herein</w:t>
      </w:r>
      <w:r w:rsidRPr="00535F0A">
        <w:t>, and the specific documents (under Joint Ministerial Decision per Article 176(1) of Law 5038/2023),</w:t>
      </w:r>
    </w:p>
    <w:p w14:paraId="000DB9C1" w14:textId="7E975E56" w:rsidR="00C6400C" w:rsidRDefault="00302D42" w:rsidP="00C6400C">
      <w:pPr>
        <w:pStyle w:val="ListParagraph"/>
        <w:numPr>
          <w:ilvl w:val="0"/>
          <w:numId w:val="2"/>
        </w:numPr>
      </w:pPr>
      <w:r w:rsidRPr="00535F0A">
        <w:t>be interviewed</w:t>
      </w:r>
      <w:r w:rsidR="00535F0A" w:rsidRPr="00535F0A">
        <w:t xml:space="preserve"> by the Consul or a designated official, in order to establish the purpose of their entry and stay in Greece,</w:t>
      </w:r>
      <w:r>
        <w:t xml:space="preserve"> </w:t>
      </w:r>
    </w:p>
    <w:p w14:paraId="673C1951" w14:textId="1FD99CE6" w:rsidR="00302D42" w:rsidRDefault="00302D42" w:rsidP="00C6400C">
      <w:pPr>
        <w:pStyle w:val="ListParagraph"/>
        <w:numPr>
          <w:ilvl w:val="0"/>
          <w:numId w:val="2"/>
        </w:numPr>
      </w:pPr>
      <w:r>
        <w:t>pa</w:t>
      </w:r>
      <w:r w:rsidR="00535F0A" w:rsidRPr="00535F0A">
        <w:t>y the applicable fees as per national legislation,</w:t>
      </w:r>
      <w:r>
        <w:t xml:space="preserve"> </w:t>
      </w:r>
    </w:p>
    <w:p w14:paraId="7A64D5D4" w14:textId="73471680" w:rsidR="00C6400C" w:rsidRDefault="00C6400C" w:rsidP="00C6400C">
      <w:pPr>
        <w:pStyle w:val="ListParagraph"/>
        <w:numPr>
          <w:ilvl w:val="0"/>
          <w:numId w:val="2"/>
        </w:numPr>
        <w:jc w:val="both"/>
      </w:pPr>
      <w:r>
        <w:t>c</w:t>
      </w:r>
      <w:r w:rsidRPr="00535F0A">
        <w:t>onsent to the collection of biometric data</w:t>
      </w:r>
      <w:r>
        <w:t>,</w:t>
      </w:r>
      <w:r w:rsidRPr="00535F0A">
        <w:t xml:space="preserve"> in accordance with Article 4.</w:t>
      </w:r>
      <w:r>
        <w:t xml:space="preserve"> </w:t>
      </w:r>
    </w:p>
    <w:p w14:paraId="75F6F7E4" w14:textId="5D2D0757" w:rsidR="00C6400C" w:rsidRDefault="00535F0A" w:rsidP="00535F0A">
      <w:r w:rsidRPr="00535F0A">
        <w:t>The consular authority must receive and process national visa applications in accordance with the law and decide on them within a reasonable period of time. A specific deadline is set:</w:t>
      </w:r>
    </w:p>
    <w:p w14:paraId="113CC2FE" w14:textId="77777777" w:rsidR="00C6400C" w:rsidRDefault="00535F0A" w:rsidP="00C6400C">
      <w:pPr>
        <w:pStyle w:val="ListParagraph"/>
        <w:numPr>
          <w:ilvl w:val="0"/>
          <w:numId w:val="3"/>
        </w:numPr>
      </w:pPr>
      <w:r w:rsidRPr="00535F0A">
        <w:t xml:space="preserve">In the case of applications for seasonal workers (Category E.5), where the consular authority shall decide and communicate its decision to the applicant no later than sixty (60) days after the submission of the complete application </w:t>
      </w:r>
    </w:p>
    <w:p w14:paraId="7D2267D7" w14:textId="77777777" w:rsidR="00C6400C" w:rsidRDefault="00535F0A" w:rsidP="00C6400C">
      <w:pPr>
        <w:pStyle w:val="ListParagraph"/>
        <w:numPr>
          <w:ilvl w:val="0"/>
          <w:numId w:val="3"/>
        </w:numPr>
      </w:pPr>
      <w:r w:rsidRPr="00535F0A">
        <w:t>In case of applications for digital nomads (Category Z.1); decision within 10 days from the submission of the application.</w:t>
      </w:r>
    </w:p>
    <w:p w14:paraId="593E948A" w14:textId="25E1947B" w:rsidR="00535F0A" w:rsidRDefault="00535F0A" w:rsidP="00C6400C">
      <w:pPr>
        <w:pStyle w:val="ListParagraph"/>
        <w:numPr>
          <w:ilvl w:val="0"/>
          <w:numId w:val="3"/>
        </w:numPr>
      </w:pPr>
      <w:r w:rsidRPr="00535F0A">
        <w:lastRenderedPageBreak/>
        <w:t xml:space="preserve">In case of applications for Trainees (Category H.4), where a decision must be taken as soon as possible and no later than 60 days from complete application. </w:t>
      </w:r>
    </w:p>
    <w:p w14:paraId="33E3BCD5" w14:textId="063BCC2E" w:rsidR="00302D42" w:rsidRDefault="00535F0A" w:rsidP="00302D42">
      <w:pPr>
        <w:jc w:val="both"/>
      </w:pPr>
      <w:r w:rsidRPr="00535F0A">
        <w:t xml:space="preserve">Interviews, decisions, and printing and affixing of visa </w:t>
      </w:r>
      <w:r w:rsidR="00302D42" w:rsidRPr="00535F0A">
        <w:t>stickers shall</w:t>
      </w:r>
      <w:r w:rsidRPr="00535F0A">
        <w:t xml:space="preserve"> be carried out exclusively by the consular authority.</w:t>
      </w:r>
    </w:p>
    <w:p w14:paraId="0B260175" w14:textId="6AA8D674" w:rsidR="00302D42" w:rsidRDefault="00535F0A" w:rsidP="00302D42">
      <w:pPr>
        <w:jc w:val="both"/>
      </w:pPr>
      <w:r w:rsidRPr="00535F0A">
        <w:t xml:space="preserve">In order </w:t>
      </w:r>
      <w:r w:rsidR="00302D42" w:rsidRPr="00535F0A">
        <w:t>to establish that</w:t>
      </w:r>
      <w:r w:rsidRPr="00535F0A">
        <w:t xml:space="preserve"> there are no grounds for refusal under Article 7(4) of Law 5038/2023, additional documents may be requested by the Greek diplomatic or consular authority. To this end, said authority may seek evidence, in collaboration with the competent services of the Hellenic Republic, as to whether or not an applicant constitutes a threat to national order, internal security, public health or international relations.</w:t>
      </w:r>
    </w:p>
    <w:p w14:paraId="12320A15" w14:textId="750A933D" w:rsidR="00C6400C" w:rsidRDefault="00535F0A" w:rsidP="00302D42">
      <w:pPr>
        <w:jc w:val="both"/>
      </w:pPr>
      <w:r w:rsidRPr="00535F0A">
        <w:t xml:space="preserve">Fulfilment of the requirements stated </w:t>
      </w:r>
      <w:r w:rsidR="00C6400C" w:rsidRPr="00535F0A">
        <w:t>herein and</w:t>
      </w:r>
      <w:r w:rsidRPr="00535F0A">
        <w:t xml:space="preserve"> in the Joint Ministerial Decision under Article 176(8) does not necessarily guarantee the granting of the visa, as the decision on whether or not to grant it lies within the exclusive competence of the Greek consular or diplomatic authority.</w:t>
      </w:r>
    </w:p>
    <w:p w14:paraId="0C0ACDB0" w14:textId="0F52C2DF" w:rsidR="00535F0A" w:rsidRPr="00535F0A" w:rsidRDefault="00535F0A" w:rsidP="00302D42">
      <w:pPr>
        <w:jc w:val="both"/>
      </w:pPr>
      <w:r w:rsidRPr="00535F0A">
        <w:t>If there is a cooperation agreement between Greek diplomatic or consular authorities and an external service provider (ESP), then, in accordance with Articles 40, 43 and Annex X of the Visa Code, the aforementioned authorities may entrust the external service provider with the performance of one or more of the tasks defined in par. 6 of Article 43 of the Visa Code, for selected</w:t>
      </w:r>
      <w:r w:rsidR="002C7CE9">
        <w:t xml:space="preserve"> </w:t>
      </w:r>
      <w:r w:rsidRPr="00535F0A">
        <w:t>national entry visa categories they deem appropriate.</w:t>
      </w:r>
      <w:r w:rsidR="002C7CE9">
        <w:t xml:space="preserve"> </w:t>
      </w:r>
      <w:r w:rsidRPr="00535F0A">
        <w:t xml:space="preserve">In particular, the external service provider may be entrusted with performing one or more of the following tasks:  </w:t>
      </w:r>
    </w:p>
    <w:p w14:paraId="65F67426" w14:textId="77777777" w:rsidR="002C7CE9" w:rsidRDefault="00535F0A" w:rsidP="002C7CE9">
      <w:pPr>
        <w:pStyle w:val="ListParagraph"/>
        <w:numPr>
          <w:ilvl w:val="0"/>
          <w:numId w:val="4"/>
        </w:numPr>
        <w:jc w:val="both"/>
      </w:pPr>
      <w:r w:rsidRPr="00535F0A">
        <w:t>Providing general information and guidance regarding the necessary documents for a national entry visa application,</w:t>
      </w:r>
    </w:p>
    <w:p w14:paraId="393D7FC2" w14:textId="77777777" w:rsidR="002C7CE9" w:rsidRDefault="00535F0A" w:rsidP="002C7CE9">
      <w:pPr>
        <w:pStyle w:val="ListParagraph"/>
        <w:numPr>
          <w:ilvl w:val="0"/>
          <w:numId w:val="4"/>
        </w:numPr>
        <w:jc w:val="both"/>
      </w:pPr>
      <w:r w:rsidRPr="00535F0A">
        <w:t>Collecting applications and data (including biometric data), and forwarding them to the competent consular authority,</w:t>
      </w:r>
    </w:p>
    <w:p w14:paraId="49CBDEA9" w14:textId="77777777" w:rsidR="002C7CE9" w:rsidRDefault="00535F0A" w:rsidP="002C7CE9">
      <w:pPr>
        <w:pStyle w:val="ListParagraph"/>
        <w:numPr>
          <w:ilvl w:val="0"/>
          <w:numId w:val="4"/>
        </w:numPr>
        <w:jc w:val="both"/>
      </w:pPr>
      <w:r w:rsidRPr="00535F0A">
        <w:t>Collecting visa fees on behalf of the consular authority,</w:t>
      </w:r>
    </w:p>
    <w:p w14:paraId="15819243" w14:textId="554297B8" w:rsidR="00535F0A" w:rsidRPr="00535F0A" w:rsidRDefault="002C7CE9" w:rsidP="002C7CE9">
      <w:pPr>
        <w:pStyle w:val="ListParagraph"/>
        <w:numPr>
          <w:ilvl w:val="0"/>
          <w:numId w:val="4"/>
        </w:numPr>
        <w:jc w:val="both"/>
      </w:pPr>
      <w:r w:rsidRPr="00535F0A">
        <w:t>Administering interviews</w:t>
      </w:r>
      <w:r w:rsidR="00535F0A" w:rsidRPr="00535F0A">
        <w:t xml:space="preserve"> with applicants. In such cases, applicants may visit the offices of the external service </w:t>
      </w:r>
      <w:r w:rsidRPr="00535F0A">
        <w:t>provider,</w:t>
      </w:r>
      <w:r w:rsidR="00535F0A" w:rsidRPr="00535F0A">
        <w:t xml:space="preserve"> where they will be interviewed by the Consul or a designated consular authority official via video teleconference (VTC</w:t>
      </w:r>
      <w:r w:rsidRPr="00535F0A">
        <w:t>). The</w:t>
      </w:r>
      <w:r w:rsidR="00535F0A" w:rsidRPr="00535F0A">
        <w:t xml:space="preserve"> issuance of a national entry visa through an external service provider necessitates at least </w:t>
      </w:r>
      <w:r w:rsidRPr="00535F0A">
        <w:t>one personal</w:t>
      </w:r>
      <w:r w:rsidR="00535F0A" w:rsidRPr="00535F0A">
        <w:t xml:space="preserve"> appearance of the applicant before the relevant diplomatic or consular authority.</w:t>
      </w:r>
    </w:p>
    <w:p w14:paraId="1CBC9BAD" w14:textId="77777777" w:rsidR="00510B8C" w:rsidRDefault="00510B8C" w:rsidP="00535F0A">
      <w:pPr>
        <w:jc w:val="both"/>
        <w:rPr>
          <w:u w:val="single"/>
        </w:rPr>
      </w:pPr>
    </w:p>
    <w:p w14:paraId="0A7ABC46" w14:textId="31BF8E23" w:rsidR="00535F0A" w:rsidRDefault="002C7CE9" w:rsidP="00535F0A">
      <w:pPr>
        <w:jc w:val="both"/>
        <w:rPr>
          <w:u w:val="single"/>
        </w:rPr>
      </w:pPr>
      <w:r w:rsidRPr="002C7CE9">
        <w:rPr>
          <w:u w:val="single"/>
        </w:rPr>
        <w:t>Application procedure and general supporting documents</w:t>
      </w:r>
      <w:r>
        <w:rPr>
          <w:u w:val="single"/>
        </w:rPr>
        <w:t>:</w:t>
      </w:r>
    </w:p>
    <w:p w14:paraId="3553D191" w14:textId="1626A148" w:rsidR="002C7CE9" w:rsidRDefault="002C7CE9" w:rsidP="002C7CE9">
      <w:pPr>
        <w:jc w:val="both"/>
      </w:pPr>
      <w:r w:rsidRPr="002C7CE9">
        <w:t>Applicants must appear in person at the Greek diplomatic/consular authority or at the external service provider. The following biometric data shall be collected, according to article 13 of Visa Code:</w:t>
      </w:r>
    </w:p>
    <w:p w14:paraId="05FE5D8C" w14:textId="77777777" w:rsidR="002C7CE9" w:rsidRDefault="002C7CE9" w:rsidP="002C7CE9">
      <w:pPr>
        <w:pStyle w:val="ListParagraph"/>
        <w:numPr>
          <w:ilvl w:val="0"/>
          <w:numId w:val="6"/>
        </w:numPr>
      </w:pPr>
      <w:r w:rsidRPr="002C7CE9">
        <w:t>A printed photograph, or a photograph taken at the time of submitting the application as per Regulation (EC) No 1683/95,</w:t>
      </w:r>
    </w:p>
    <w:p w14:paraId="4C4FBAC1" w14:textId="77777777" w:rsidR="002C7CE9" w:rsidRDefault="002C7CE9" w:rsidP="002C7CE9">
      <w:pPr>
        <w:pStyle w:val="ListParagraph"/>
        <w:numPr>
          <w:ilvl w:val="0"/>
          <w:numId w:val="6"/>
        </w:numPr>
      </w:pPr>
      <w:r w:rsidRPr="002C7CE9">
        <w:t>Ten (10) fingerprints via flat and digital scan.</w:t>
      </w:r>
      <w:r>
        <w:t xml:space="preserve"> </w:t>
      </w:r>
      <w:r w:rsidRPr="002C7CE9">
        <w:t xml:space="preserve"> </w:t>
      </w:r>
      <w:r>
        <w:t>This</w:t>
      </w:r>
      <w:r w:rsidRPr="002C7CE9">
        <w:t xml:space="preserve"> requirement does not apply to members of diplomatic and consular missions and international organizations, as well as their spouses and children up to the age of twenty (20) who are on secondment.</w:t>
      </w:r>
    </w:p>
    <w:p w14:paraId="3C2F555A" w14:textId="776C4D30" w:rsidR="002C7CE9" w:rsidRDefault="002C7CE9" w:rsidP="002C7CE9">
      <w:r w:rsidRPr="002C7CE9">
        <w:t>Required general supporting documents:</w:t>
      </w:r>
    </w:p>
    <w:p w14:paraId="4F498350" w14:textId="77777777" w:rsidR="002C7CE9" w:rsidRDefault="002C7CE9" w:rsidP="002C7CE9">
      <w:pPr>
        <w:pStyle w:val="ListParagraph"/>
        <w:numPr>
          <w:ilvl w:val="0"/>
          <w:numId w:val="7"/>
        </w:numPr>
        <w:jc w:val="both"/>
      </w:pPr>
      <w:r w:rsidRPr="002C7CE9">
        <w:lastRenderedPageBreak/>
        <w:t>Fully completed and signed application form (Annex I), which also serves as a declaration of truthfulness under Law 1599/1986, that the declared data are true and the supporting documents are not forged or falsified.</w:t>
      </w:r>
      <w:r>
        <w:t xml:space="preserve"> </w:t>
      </w:r>
    </w:p>
    <w:p w14:paraId="41A4498E" w14:textId="77777777" w:rsidR="00C22B44" w:rsidRDefault="002C7CE9" w:rsidP="002C7CE9">
      <w:pPr>
        <w:pStyle w:val="ListParagraph"/>
        <w:numPr>
          <w:ilvl w:val="0"/>
          <w:numId w:val="7"/>
        </w:numPr>
        <w:jc w:val="both"/>
      </w:pPr>
      <w:r w:rsidRPr="002C7CE9">
        <w:t>Valid passport or other recognized travel document, meeting all the following criteria:</w:t>
      </w:r>
      <w:r w:rsidRPr="002C7CE9">
        <w:br/>
        <w:t xml:space="preserve">     a) Valid for at least 3 months after the scheduled departure date from the Schengen area, or in the case of multiple visits, after the last scheduled date of the intended departure from the territory of member countries. In case of a justified emergency, the aforementioned obligation may be lifted.</w:t>
      </w:r>
    </w:p>
    <w:p w14:paraId="02DEFD3E" w14:textId="0A270571" w:rsidR="002C7CE9" w:rsidRDefault="00C22B44" w:rsidP="00C22B44">
      <w:pPr>
        <w:pStyle w:val="ListParagraph"/>
        <w:jc w:val="both"/>
      </w:pPr>
      <w:r>
        <w:t xml:space="preserve">     </w:t>
      </w:r>
      <w:r w:rsidR="002C7CE9" w:rsidRPr="002C7CE9">
        <w:t>b)</w:t>
      </w:r>
      <w:r w:rsidR="002C7CE9">
        <w:t xml:space="preserve"> </w:t>
      </w:r>
      <w:r w:rsidR="002C7CE9" w:rsidRPr="002C7CE9">
        <w:t>Containing at least 2 blank pages,</w:t>
      </w:r>
      <w:r w:rsidR="002C7CE9">
        <w:t xml:space="preserve"> </w:t>
      </w:r>
    </w:p>
    <w:p w14:paraId="2D56067F" w14:textId="77777777" w:rsidR="002C7CE9" w:rsidRDefault="002C7CE9" w:rsidP="002C7CE9">
      <w:pPr>
        <w:pStyle w:val="ListParagraph"/>
        <w:jc w:val="both"/>
      </w:pPr>
      <w:r>
        <w:t xml:space="preserve">     </w:t>
      </w:r>
      <w:r w:rsidRPr="002C7CE9">
        <w:t>c) Issued within the last 10 years.</w:t>
      </w:r>
    </w:p>
    <w:p w14:paraId="4639DA96" w14:textId="2CE15D60" w:rsidR="002C7CE9" w:rsidRDefault="002C7CE9" w:rsidP="002C7CE9">
      <w:pPr>
        <w:pStyle w:val="ListParagraph"/>
        <w:jc w:val="both"/>
      </w:pPr>
      <w:r w:rsidRPr="002C7CE9">
        <w:t>If the travel document is not recognized by Greece, the visa may be issued on a uniform format form, as per Regulation (EC) No 333/2002. This form is used for holders of travel documents that are not recognized by the issuing member state, according to Article 2 of the Visa Code.</w:t>
      </w:r>
    </w:p>
    <w:p w14:paraId="60177374" w14:textId="77777777" w:rsidR="008F2C18" w:rsidRDefault="002C7CE9" w:rsidP="008F2C18">
      <w:pPr>
        <w:pStyle w:val="ListParagraph"/>
        <w:numPr>
          <w:ilvl w:val="0"/>
          <w:numId w:val="7"/>
        </w:numPr>
        <w:jc w:val="both"/>
      </w:pPr>
      <w:r w:rsidRPr="002C7CE9">
        <w:t xml:space="preserve">A certificate of criminal record from the </w:t>
      </w:r>
      <w:r w:rsidR="008F2C18" w:rsidRPr="002C7CE9">
        <w:t>relevant foreign</w:t>
      </w:r>
      <w:r w:rsidRPr="002C7CE9">
        <w:t xml:space="preserve"> authority that certifies the applicant’s criminal status in their country of residence. </w:t>
      </w:r>
    </w:p>
    <w:p w14:paraId="38B0E978" w14:textId="77777777" w:rsidR="008F2C18" w:rsidRDefault="002C7CE9" w:rsidP="008F2C18">
      <w:pPr>
        <w:pStyle w:val="ListParagraph"/>
        <w:jc w:val="both"/>
      </w:pPr>
      <w:r w:rsidRPr="002C7CE9">
        <w:t xml:space="preserve">If the applicant has resided in a country other than their country of </w:t>
      </w:r>
      <w:r w:rsidR="008F2C18" w:rsidRPr="002C7CE9">
        <w:t>origin for</w:t>
      </w:r>
      <w:r w:rsidRPr="002C7CE9">
        <w:t xml:space="preserve"> more than </w:t>
      </w:r>
      <w:r w:rsidR="008F2C18" w:rsidRPr="002C7CE9">
        <w:t>one year</w:t>
      </w:r>
      <w:r w:rsidRPr="002C7CE9">
        <w:t xml:space="preserve"> before submitting an application for a national entry visa, the consular authority may also request a criminal record from the applicant's country of origin, provided that the country of residence does not require a criminal record from the country of origin in order to grant the foreign applicant a residence permit.</w:t>
      </w:r>
      <w:r w:rsidR="008F2C18">
        <w:t xml:space="preserve"> </w:t>
      </w:r>
      <w:r w:rsidRPr="002C7CE9">
        <w:t xml:space="preserve">If the applicant has previously </w:t>
      </w:r>
      <w:r w:rsidR="008F2C18" w:rsidRPr="002C7CE9">
        <w:t>resided in</w:t>
      </w:r>
      <w:r w:rsidRPr="002C7CE9">
        <w:t xml:space="preserve"> Greece, the diplomatic or consular authority may, on its own initiative, request a criminal record for judicial use from the Greek Ministry of Justice.</w:t>
      </w:r>
      <w:r w:rsidR="008F2C18">
        <w:t xml:space="preserve"> </w:t>
      </w:r>
      <w:r w:rsidRPr="002C7CE9">
        <w:t>In cases where there are entries in the criminal record related to court decisions or pending criminal proceedings, individual factors are considered, such as the seriousness of the offenses, their frequency, and the applicant’s overall propensity for criminal behavior. These factors are evaluated to determine whether their entry and stay in the country pose a threat to public order and security</w:t>
      </w:r>
      <w:r w:rsidR="008F2C18">
        <w:t>.</w:t>
      </w:r>
    </w:p>
    <w:p w14:paraId="61641EAD" w14:textId="77777777" w:rsidR="008F2C18" w:rsidRDefault="002C7CE9" w:rsidP="008F2C18">
      <w:pPr>
        <w:pStyle w:val="ListParagraph"/>
        <w:numPr>
          <w:ilvl w:val="0"/>
          <w:numId w:val="7"/>
        </w:numPr>
        <w:jc w:val="both"/>
      </w:pPr>
      <w:r w:rsidRPr="002C7CE9">
        <w:t>A Medical certificate from an accredited public or private institution (Annex II), stating that the applicant does not suffer from:</w:t>
      </w:r>
    </w:p>
    <w:p w14:paraId="68B5D5E2" w14:textId="22DB2EF9" w:rsidR="008F2C18" w:rsidRDefault="002C7CE9" w:rsidP="008F2C18">
      <w:pPr>
        <w:pStyle w:val="ListParagraph"/>
        <w:numPr>
          <w:ilvl w:val="0"/>
          <w:numId w:val="8"/>
        </w:numPr>
        <w:jc w:val="both"/>
      </w:pPr>
      <w:r w:rsidRPr="002C7CE9">
        <w:t xml:space="preserve">any disease that could pose </w:t>
      </w:r>
      <w:r w:rsidR="008F2C18" w:rsidRPr="002C7CE9">
        <w:t>a risk</w:t>
      </w:r>
      <w:r w:rsidRPr="002C7CE9">
        <w:t xml:space="preserve"> to public health, according to the WHO international </w:t>
      </w:r>
      <w:r w:rsidR="008F2C18" w:rsidRPr="002C7CE9">
        <w:t>guidelines and</w:t>
      </w:r>
      <w:r w:rsidRPr="002C7CE9">
        <w:t xml:space="preserve"> EU standards,</w:t>
      </w:r>
    </w:p>
    <w:p w14:paraId="7EE044DD" w14:textId="77777777" w:rsidR="008F2C18" w:rsidRDefault="002C7CE9" w:rsidP="008F2C18">
      <w:pPr>
        <w:pStyle w:val="ListParagraph"/>
        <w:numPr>
          <w:ilvl w:val="0"/>
          <w:numId w:val="8"/>
        </w:numPr>
        <w:jc w:val="both"/>
      </w:pPr>
      <w:r w:rsidRPr="002C7CE9">
        <w:t>any Other infectious, communicable or parasitic diseases requiring public health measures.</w:t>
      </w:r>
    </w:p>
    <w:p w14:paraId="61B2A51C" w14:textId="45CDC9A2" w:rsidR="002C7CE9" w:rsidRPr="002C7CE9" w:rsidRDefault="002C7CE9" w:rsidP="008F2C18">
      <w:pPr>
        <w:pStyle w:val="ListParagraph"/>
        <w:numPr>
          <w:ilvl w:val="0"/>
          <w:numId w:val="7"/>
        </w:numPr>
        <w:jc w:val="both"/>
      </w:pPr>
      <w:r w:rsidRPr="002C7CE9">
        <w:t xml:space="preserve">Travel insurance with a duration equal to or greater than the length of the national visa </w:t>
      </w:r>
      <w:r w:rsidR="008F2C18" w:rsidRPr="002C7CE9">
        <w:t>granted,</w:t>
      </w:r>
      <w:r w:rsidRPr="002C7CE9">
        <w:t xml:space="preserve"> covering costs that may arise in the event of repatriation for medical reasons, emergency medical care, and/or emergency hospitalization. </w:t>
      </w:r>
    </w:p>
    <w:p w14:paraId="7CC5E5AD" w14:textId="77777777" w:rsidR="002C7CE9" w:rsidRPr="002C7CE9" w:rsidRDefault="002C7CE9" w:rsidP="00535F0A">
      <w:pPr>
        <w:jc w:val="both"/>
        <w:rPr>
          <w:u w:val="single"/>
        </w:rPr>
      </w:pPr>
    </w:p>
    <w:p w14:paraId="4191EA0C" w14:textId="77777777" w:rsidR="00535F0A" w:rsidRPr="00535F0A" w:rsidRDefault="00535F0A" w:rsidP="00535F0A">
      <w:pPr>
        <w:jc w:val="both"/>
      </w:pPr>
    </w:p>
    <w:p w14:paraId="6DDE3002" w14:textId="77777777" w:rsidR="00535F0A" w:rsidRPr="00535F0A" w:rsidRDefault="00535F0A" w:rsidP="00535F0A">
      <w:pPr>
        <w:jc w:val="both"/>
      </w:pPr>
    </w:p>
    <w:p w14:paraId="5F48788B" w14:textId="77777777" w:rsidR="00535F0A" w:rsidRDefault="00535F0A"/>
    <w:sectPr w:rsidR="00535F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261EB"/>
    <w:multiLevelType w:val="hybridMultilevel"/>
    <w:tmpl w:val="5E38EFE6"/>
    <w:lvl w:ilvl="0" w:tplc="6278EAF4">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48F073A"/>
    <w:multiLevelType w:val="hybridMultilevel"/>
    <w:tmpl w:val="39A4A1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34D1083"/>
    <w:multiLevelType w:val="hybridMultilevel"/>
    <w:tmpl w:val="6128AD20"/>
    <w:lvl w:ilvl="0" w:tplc="04080019">
      <w:start w:val="1"/>
      <w:numFmt w:val="lowerLetter"/>
      <w:lvlText w:val="%1."/>
      <w:lvlJc w:val="left"/>
      <w:pPr>
        <w:ind w:left="765" w:hanging="360"/>
      </w:p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abstractNum w:abstractNumId="3" w15:restartNumberingAfterBreak="0">
    <w:nsid w:val="44DB45CA"/>
    <w:multiLevelType w:val="hybridMultilevel"/>
    <w:tmpl w:val="D066503A"/>
    <w:lvl w:ilvl="0" w:tplc="FDFA02E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DA56AF0"/>
    <w:multiLevelType w:val="hybridMultilevel"/>
    <w:tmpl w:val="F2A65F96"/>
    <w:lvl w:ilvl="0" w:tplc="A58C9E24">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58BB407B"/>
    <w:multiLevelType w:val="hybridMultilevel"/>
    <w:tmpl w:val="535A3C90"/>
    <w:lvl w:ilvl="0" w:tplc="6278EAF4">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C234251"/>
    <w:multiLevelType w:val="hybridMultilevel"/>
    <w:tmpl w:val="B21C58EA"/>
    <w:lvl w:ilvl="0" w:tplc="6278EAF4">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E061E1C"/>
    <w:multiLevelType w:val="hybridMultilevel"/>
    <w:tmpl w:val="535A3C90"/>
    <w:lvl w:ilvl="0" w:tplc="6278EAF4">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2"/>
  </w:num>
  <w:num w:numId="5">
    <w:abstractNumId w:val="3"/>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D07"/>
    <w:rsid w:val="002C7CE9"/>
    <w:rsid w:val="00302D42"/>
    <w:rsid w:val="00510B8C"/>
    <w:rsid w:val="00535F0A"/>
    <w:rsid w:val="008F2C18"/>
    <w:rsid w:val="008F6B31"/>
    <w:rsid w:val="00A31D07"/>
    <w:rsid w:val="00B60744"/>
    <w:rsid w:val="00C22B44"/>
    <w:rsid w:val="00C54E83"/>
    <w:rsid w:val="00C6400C"/>
    <w:rsid w:val="00E0648B"/>
    <w:rsid w:val="00EC03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4DFC5"/>
  <w15:chartTrackingRefBased/>
  <w15:docId w15:val="{F165DEF7-BBD5-4E61-98EA-B82642539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5F0A"/>
    <w:pPr>
      <w:spacing w:after="200" w:line="276" w:lineRule="auto"/>
    </w:pPr>
    <w:rPr>
      <w:rFonts w:ascii="Cambria" w:eastAsia="MS Mincho"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1285</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Foreign Affairs</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2025-08-12T12:13:00Z</dcterms:created>
  <dcterms:modified xsi:type="dcterms:W3CDTF">2025-08-12T12:14:00Z</dcterms:modified>
</cp:coreProperties>
</file>