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0CC7" w:rsidRPr="00E56A3D" w:rsidRDefault="00DC2821" w:rsidP="00E56A3D">
      <w:pPr>
        <w:pStyle w:val="BodyText"/>
        <w:spacing w:beforeAutospacing="1" w:afterAutospacing="1" w:line="240" w:lineRule="auto"/>
        <w:jc w:val="both"/>
        <w:rPr>
          <w:rFonts w:ascii="Tahoma" w:eastAsia="Times New Roman" w:hAnsi="Tahoma" w:cstheme="minorHAnsi"/>
          <w:b/>
          <w:bCs/>
          <w:sz w:val="28"/>
          <w:szCs w:val="28"/>
          <w:lang w:val="fr-FR" w:eastAsia="el-GR"/>
        </w:rPr>
      </w:pPr>
      <w:bookmarkStart w:id="0" w:name="_GoBack"/>
      <w:bookmarkEnd w:id="0"/>
      <w:r>
        <w:rPr>
          <w:rFonts w:ascii="Tahoma" w:eastAsia="Times New Roman" w:hAnsi="Tahoma" w:cstheme="minorHAnsi"/>
          <w:b/>
          <w:bCs/>
          <w:sz w:val="28"/>
          <w:szCs w:val="28"/>
          <w:lang w:val="fr-FR" w:eastAsia="el-GR"/>
        </w:rPr>
        <w:t>Troisième examen annuel du cadre stratégique bilatéral Grèce-Royaume-Uni, 3 novembre 2025</w:t>
      </w:r>
    </w:p>
    <w:p w:rsidR="00E00CC7" w:rsidRPr="00E56A3D" w:rsidRDefault="00DC2821" w:rsidP="00E56A3D">
      <w:pPr>
        <w:pStyle w:val="BodyText"/>
        <w:spacing w:after="280" w:line="240" w:lineRule="auto"/>
        <w:jc w:val="both"/>
        <w:rPr>
          <w:rFonts w:ascii="Tahoma" w:eastAsia="Times New Roman" w:hAnsi="Tahoma" w:cstheme="minorHAnsi"/>
          <w:sz w:val="28"/>
          <w:szCs w:val="28"/>
          <w:lang w:val="fr-FR" w:eastAsia="el-GR"/>
        </w:rPr>
      </w:pPr>
      <w:r>
        <w:rPr>
          <w:rFonts w:ascii="Tahoma" w:eastAsia="Times New Roman" w:hAnsi="Tahoma" w:cstheme="minorHAnsi"/>
          <w:sz w:val="28"/>
          <w:szCs w:val="28"/>
          <w:lang w:val="fr-FR" w:eastAsia="el-GR"/>
        </w:rPr>
        <w:t xml:space="preserve">La vice-ministre des Affaires étrangères du ministère grec des Affaires étrangères, Alexandra </w:t>
      </w:r>
      <w:proofErr w:type="spellStart"/>
      <w:r>
        <w:rPr>
          <w:rFonts w:ascii="Tahoma" w:eastAsia="Times New Roman" w:hAnsi="Tahoma" w:cstheme="minorHAnsi"/>
          <w:sz w:val="28"/>
          <w:szCs w:val="28"/>
          <w:lang w:val="fr-FR" w:eastAsia="el-GR"/>
        </w:rPr>
        <w:t>Papadopoulou</w:t>
      </w:r>
      <w:proofErr w:type="spellEnd"/>
      <w:r>
        <w:rPr>
          <w:rFonts w:ascii="Tahoma" w:eastAsia="Times New Roman" w:hAnsi="Tahoma" w:cstheme="minorHAnsi"/>
          <w:sz w:val="28"/>
          <w:szCs w:val="28"/>
          <w:lang w:val="fr-FR" w:eastAsia="el-GR"/>
        </w:rPr>
        <w:t>, et le ministre d'État chargé de l'Europe, de l'Amérique du Nord et des territoires d'outre-mer au ministère britannique des Affaires étrangères, du Commonwealth et du Développement, Stephen Doughty, ont présidé le 3 novembre 2025 le troisième examen annuel du cadre bilatéral stratégique entre le Royaume-Uni et la Grèce (SBF), qui s'est achevée le 25 octobre 2021. Les deux ministres ont réaffirmé l'importance des relations historiques de longue date entre la Grèce et le Royaume-Uni, rappelant leurs intérêts et principes communs. Les ministres ont également discuté des progrès réalisés dans le cadre des différents piliers du SBF visant à renforcer davantage les relations entre la Grèce et le Royaume-Uni et à travailler en étroite collaboration pour promouvoir la sécurité et la stabilité. Les ministres ont également mis en évidence les secteurs dans lesquels des objectifs et des initiatives supplémentaires doivent être mis en œuvre afin de renforcer leurs relations bilatérales.</w:t>
      </w:r>
    </w:p>
    <w:p w:rsidR="00E00CC7" w:rsidRDefault="00DC2821">
      <w:pPr>
        <w:pStyle w:val="BodyText"/>
        <w:jc w:val="both"/>
        <w:rPr>
          <w:rFonts w:ascii="Tahoma" w:hAnsi="Tahoma" w:cstheme="minorHAnsi"/>
          <w:b/>
          <w:sz w:val="28"/>
          <w:szCs w:val="28"/>
          <w:lang w:val="fr-FR"/>
        </w:rPr>
      </w:pPr>
      <w:r>
        <w:rPr>
          <w:rFonts w:ascii="Tahoma" w:hAnsi="Tahoma" w:cstheme="minorHAnsi"/>
          <w:b/>
          <w:sz w:val="28"/>
          <w:szCs w:val="28"/>
          <w:lang w:val="fr-FR"/>
        </w:rPr>
        <w:t>Politique étrangère et régionale</w:t>
      </w:r>
    </w:p>
    <w:p w:rsidR="00E00CC7" w:rsidRDefault="00DC2821">
      <w:pPr>
        <w:pStyle w:val="BodyText"/>
        <w:spacing w:after="160" w:line="259" w:lineRule="auto"/>
        <w:jc w:val="both"/>
        <w:rPr>
          <w:rFonts w:ascii="Tahoma" w:hAnsi="Tahoma" w:cstheme="minorHAnsi"/>
          <w:sz w:val="28"/>
          <w:szCs w:val="28"/>
          <w:lang w:val="fr-FR"/>
        </w:rPr>
      </w:pPr>
      <w:r>
        <w:rPr>
          <w:rFonts w:ascii="Tahoma" w:hAnsi="Tahoma" w:cstheme="minorHAnsi"/>
          <w:sz w:val="28"/>
          <w:szCs w:val="28"/>
          <w:lang w:val="fr-FR"/>
        </w:rPr>
        <w:t>Les ministres se sont félicités du large éventail de coopération en matière de politique étrangère dans les forums bilatéraux et multilatéraux et des progrès réalisés depuis la dernière révision du SBF le 30 janvier 2024.</w:t>
      </w:r>
    </w:p>
    <w:p w:rsidR="00E00CC7" w:rsidRPr="00E56A3D" w:rsidRDefault="00DC2821" w:rsidP="00E56A3D">
      <w:pPr>
        <w:pStyle w:val="BodyText"/>
        <w:spacing w:after="160" w:line="259" w:lineRule="auto"/>
        <w:jc w:val="both"/>
        <w:rPr>
          <w:rFonts w:ascii="Tahoma" w:hAnsi="Tahoma" w:cstheme="minorHAnsi"/>
          <w:sz w:val="28"/>
          <w:szCs w:val="28"/>
          <w:lang w:val="fr-FR"/>
        </w:rPr>
      </w:pPr>
      <w:r>
        <w:rPr>
          <w:rFonts w:ascii="Tahoma" w:hAnsi="Tahoma" w:cstheme="minorHAnsi"/>
          <w:sz w:val="28"/>
          <w:szCs w:val="28"/>
          <w:lang w:val="fr-FR"/>
        </w:rPr>
        <w:t xml:space="preserve">Le Royaume-Uni et la Grèce restent fermement attachés à l'intégrité territoriale et à la souveraineté nationale de l'Ukraine face à l'agression russe et au respect du droit international, y compris la Charte des Nations </w:t>
      </w:r>
      <w:r w:rsidR="00C21F8C">
        <w:rPr>
          <w:rFonts w:ascii="Tahoma" w:hAnsi="Tahoma" w:cstheme="minorHAnsi"/>
          <w:sz w:val="28"/>
          <w:szCs w:val="28"/>
          <w:lang w:val="fr-FR"/>
        </w:rPr>
        <w:t>Unies</w:t>
      </w:r>
      <w:r>
        <w:rPr>
          <w:rFonts w:ascii="Tahoma" w:hAnsi="Tahoma" w:cstheme="minorHAnsi"/>
          <w:sz w:val="28"/>
          <w:szCs w:val="28"/>
          <w:lang w:val="fr-FR"/>
        </w:rPr>
        <w:t xml:space="preserve">. Depuis le début de l'invasion russe à grande échelle, les deux pays se sont engagés à fournir une aide humanitaire, militaire et financière afin de renforcer les capacités de l'Ukraine et ont apporté un soutien diplomatique et politique à l'Ukraine par l'intermédiaire de l'OTAN, des Nations </w:t>
      </w:r>
      <w:r w:rsidR="00C21F8C">
        <w:rPr>
          <w:rFonts w:ascii="Tahoma" w:hAnsi="Tahoma" w:cstheme="minorHAnsi"/>
          <w:sz w:val="28"/>
          <w:szCs w:val="28"/>
          <w:lang w:val="fr-FR"/>
        </w:rPr>
        <w:t>Unies</w:t>
      </w:r>
      <w:r>
        <w:rPr>
          <w:rFonts w:ascii="Tahoma" w:hAnsi="Tahoma" w:cstheme="minorHAnsi"/>
          <w:sz w:val="28"/>
          <w:szCs w:val="28"/>
          <w:lang w:val="fr-FR"/>
        </w:rPr>
        <w:t xml:space="preserve"> et du Conseil de sécurité des Nations </w:t>
      </w:r>
      <w:r w:rsidR="00C21F8C">
        <w:rPr>
          <w:rFonts w:ascii="Tahoma" w:hAnsi="Tahoma" w:cstheme="minorHAnsi"/>
          <w:sz w:val="28"/>
          <w:szCs w:val="28"/>
          <w:lang w:val="fr-FR"/>
        </w:rPr>
        <w:t>Unies</w:t>
      </w:r>
      <w:r>
        <w:rPr>
          <w:rFonts w:ascii="Tahoma" w:hAnsi="Tahoma" w:cstheme="minorHAnsi"/>
          <w:sz w:val="28"/>
          <w:szCs w:val="28"/>
          <w:lang w:val="fr-FR"/>
        </w:rPr>
        <w:t>.</w:t>
      </w:r>
    </w:p>
    <w:p w:rsidR="00E00CC7" w:rsidRDefault="00DC2821">
      <w:pPr>
        <w:pStyle w:val="BodyText"/>
        <w:jc w:val="both"/>
        <w:rPr>
          <w:rFonts w:ascii="Tahoma" w:hAnsi="Tahoma"/>
          <w:sz w:val="28"/>
          <w:szCs w:val="28"/>
          <w:lang w:val="fr-FR"/>
        </w:rPr>
      </w:pPr>
      <w:r>
        <w:rPr>
          <w:rFonts w:ascii="Tahoma" w:hAnsi="Tahoma" w:cstheme="minorHAnsi"/>
          <w:bCs/>
          <w:sz w:val="28"/>
          <w:szCs w:val="28"/>
          <w:lang w:val="fr-FR"/>
        </w:rPr>
        <w:t xml:space="preserve">En tant que membres non permanents et permanents du Conseil de sécurité des Nations </w:t>
      </w:r>
      <w:r w:rsidR="00C21F8C">
        <w:rPr>
          <w:rFonts w:ascii="Tahoma" w:hAnsi="Tahoma" w:cstheme="minorHAnsi"/>
          <w:bCs/>
          <w:sz w:val="28"/>
          <w:szCs w:val="28"/>
          <w:lang w:val="fr-FR"/>
        </w:rPr>
        <w:t>Unies</w:t>
      </w:r>
      <w:r>
        <w:rPr>
          <w:rFonts w:ascii="Tahoma" w:hAnsi="Tahoma" w:cstheme="minorHAnsi"/>
          <w:bCs/>
          <w:sz w:val="28"/>
          <w:szCs w:val="28"/>
          <w:lang w:val="fr-FR"/>
        </w:rPr>
        <w:t xml:space="preserve">, la Grèce et le Royaume-Uni continueront à coordonner leurs efforts tout au long de l'année 2026 afin de </w:t>
      </w:r>
      <w:r>
        <w:rPr>
          <w:rFonts w:ascii="Tahoma" w:hAnsi="Tahoma" w:cstheme="minorHAnsi"/>
          <w:bCs/>
          <w:sz w:val="28"/>
          <w:szCs w:val="28"/>
          <w:lang w:val="fr-FR"/>
        </w:rPr>
        <w:lastRenderedPageBreak/>
        <w:t>représenter les priorités européennes en matière de sécurité au sein du Conseil de sécurité, y compris en ce qui concerne l'Ukraine. Nous réaffirmons notre attachement au principe d'intégrité territoriale et condamnons le recours à la force par la Russie contre l'Ukraine. La guerre en Ukraine n'est pas seulement une question régionale concernant la sécurité européenne, mais un conflit mondial critique qui peut gravement compromettre la stabilité, la sécurité et la paix mondiales.</w:t>
      </w:r>
    </w:p>
    <w:p w:rsidR="00E00CC7" w:rsidRDefault="00DC2821">
      <w:pPr>
        <w:pStyle w:val="BodyText"/>
        <w:jc w:val="both"/>
        <w:rPr>
          <w:rFonts w:ascii="Tahoma" w:hAnsi="Tahoma" w:cstheme="minorHAnsi"/>
          <w:bCs/>
          <w:iCs/>
          <w:sz w:val="28"/>
          <w:szCs w:val="28"/>
          <w:lang w:val="fr-FR"/>
        </w:rPr>
      </w:pPr>
      <w:r>
        <w:rPr>
          <w:rFonts w:ascii="Tahoma" w:hAnsi="Tahoma" w:cstheme="minorHAnsi"/>
          <w:bCs/>
          <w:iCs/>
          <w:sz w:val="28"/>
          <w:szCs w:val="28"/>
          <w:lang w:val="fr-FR"/>
        </w:rPr>
        <w:t xml:space="preserve">En tant que membres permanents et non permanents du Conseil de sécurité, puissances garantes et parties signataires des traités de Chypre de 1960, la Grèce et le Royaume-Uni ont exprimé leur soutien total aux pourparlers informels 5+1 facilités par le secrétaire général des Nations </w:t>
      </w:r>
      <w:r w:rsidR="00C21F8C">
        <w:rPr>
          <w:rFonts w:ascii="Tahoma" w:hAnsi="Tahoma" w:cstheme="minorHAnsi"/>
          <w:bCs/>
          <w:iCs/>
          <w:sz w:val="28"/>
          <w:szCs w:val="28"/>
          <w:lang w:val="fr-FR"/>
        </w:rPr>
        <w:t>Unies</w:t>
      </w:r>
      <w:r>
        <w:rPr>
          <w:rFonts w:ascii="Tahoma" w:hAnsi="Tahoma" w:cstheme="minorHAnsi"/>
          <w:bCs/>
          <w:iCs/>
          <w:sz w:val="28"/>
          <w:szCs w:val="28"/>
          <w:lang w:val="fr-FR"/>
        </w:rPr>
        <w:t xml:space="preserve"> ces derniers mois, ainsi que leur engagement à soutenir la poursuite des progrès dans le processus mené par les Nations </w:t>
      </w:r>
      <w:r w:rsidR="00C21F8C">
        <w:rPr>
          <w:rFonts w:ascii="Tahoma" w:hAnsi="Tahoma" w:cstheme="minorHAnsi"/>
          <w:bCs/>
          <w:iCs/>
          <w:sz w:val="28"/>
          <w:szCs w:val="28"/>
          <w:lang w:val="fr-FR"/>
        </w:rPr>
        <w:t>Unies</w:t>
      </w:r>
      <w:r>
        <w:rPr>
          <w:rFonts w:ascii="Tahoma" w:hAnsi="Tahoma" w:cstheme="minorHAnsi"/>
          <w:bCs/>
          <w:iCs/>
          <w:sz w:val="28"/>
          <w:szCs w:val="28"/>
          <w:lang w:val="fr-FR"/>
        </w:rPr>
        <w:t xml:space="preserve"> dans un avenir proche. Les deux pays ont réitéré leur soutien à un règlement fondé sur une fédération bizonale et bicommunautaire, conformément aux résolutions pertinentes du Conseil de sécurité des Nations </w:t>
      </w:r>
      <w:r w:rsidR="00C21F8C">
        <w:rPr>
          <w:rFonts w:ascii="Tahoma" w:hAnsi="Tahoma" w:cstheme="minorHAnsi"/>
          <w:bCs/>
          <w:iCs/>
          <w:sz w:val="28"/>
          <w:szCs w:val="28"/>
          <w:lang w:val="fr-FR"/>
        </w:rPr>
        <w:t>Unies</w:t>
      </w:r>
      <w:r>
        <w:rPr>
          <w:rFonts w:ascii="Tahoma" w:hAnsi="Tahoma" w:cstheme="minorHAnsi"/>
          <w:bCs/>
          <w:iCs/>
          <w:sz w:val="28"/>
          <w:szCs w:val="28"/>
          <w:lang w:val="fr-FR"/>
        </w:rPr>
        <w:t>.</w:t>
      </w:r>
    </w:p>
    <w:p w:rsidR="00E00CC7" w:rsidRDefault="00E00CC7">
      <w:pPr>
        <w:pStyle w:val="BodyText"/>
        <w:jc w:val="both"/>
        <w:rPr>
          <w:rFonts w:ascii="Tahoma" w:hAnsi="Tahoma" w:cstheme="minorHAnsi"/>
          <w:bCs/>
          <w:iCs/>
          <w:sz w:val="28"/>
          <w:szCs w:val="28"/>
          <w:lang w:val="fr-FR"/>
        </w:rPr>
      </w:pPr>
    </w:p>
    <w:p w:rsidR="00E00CC7" w:rsidRDefault="00DC2821">
      <w:pPr>
        <w:pStyle w:val="BodyText"/>
        <w:jc w:val="both"/>
        <w:rPr>
          <w:rFonts w:ascii="Tahoma" w:hAnsi="Tahoma"/>
          <w:sz w:val="28"/>
          <w:szCs w:val="28"/>
          <w:lang w:val="fr-FR"/>
        </w:rPr>
      </w:pPr>
      <w:r>
        <w:rPr>
          <w:rFonts w:ascii="Tahoma" w:hAnsi="Tahoma" w:cstheme="minorHAnsi"/>
          <w:sz w:val="28"/>
          <w:szCs w:val="28"/>
          <w:lang w:val="fr-FR"/>
        </w:rPr>
        <w:t xml:space="preserve">Les ministres ont échangé leurs points de vue sur l'évolution de la situation à Gaza, se félicitant de l'accord sur la première phase du plan de paix du président Trump pour Gaza, dans l'attente de la mise en œuvre complète des phases suivantes, y compris un processus politique global menant à la création d'un État palestinien, et espérant que toutes les parties respecteront strictement les modalités de l'accord. Les ministres ont également échangé leurs points de vue sur l'Iran, le Yémen, la Libye, la Syrie et la Méditerranée orientale. Le Royaume-Uni et la Grèce conviennent que la sécurité et la stabilité de l'ensemble de la région de la Méditerranée orientale, sur la base du respect intégral du droit international, y compris la Convention sur le droit de la mer (CNUDM) et les principes fondamentaux de la Charte des Nations </w:t>
      </w:r>
      <w:r w:rsidR="00C21F8C">
        <w:rPr>
          <w:rFonts w:ascii="Tahoma" w:hAnsi="Tahoma" w:cstheme="minorHAnsi"/>
          <w:sz w:val="28"/>
          <w:szCs w:val="28"/>
          <w:lang w:val="fr-FR"/>
        </w:rPr>
        <w:t>Unies</w:t>
      </w:r>
      <w:r>
        <w:rPr>
          <w:rFonts w:ascii="Tahoma" w:hAnsi="Tahoma" w:cstheme="minorHAnsi"/>
          <w:sz w:val="28"/>
          <w:szCs w:val="28"/>
          <w:lang w:val="fr-FR"/>
        </w:rPr>
        <w:t xml:space="preserve">, constituent un objectif commun essentiel et restent déterminés à s'engager de manière proactive en faveur de cet </w:t>
      </w:r>
      <w:r>
        <w:rPr>
          <w:rFonts w:ascii="Tahoma" w:hAnsi="Tahoma" w:cstheme="minorHAnsi"/>
          <w:sz w:val="28"/>
          <w:szCs w:val="28"/>
          <w:lang w:val="fr-FR"/>
        </w:rPr>
        <w:lastRenderedPageBreak/>
        <w:t>objectif. Les ministres ont également discuté de la situation en mer Rouge et souligné l'importance de la sécurité maritime et de la liberté de navigation. Les ministres ont également évoqué la coopération bilatérale en cours dans le cadre du mécanisme d'assistance technique pour le Yémen (TAFFY), dont l'objectif commun est de renforcer la sécurité maritime dans les eaux territoriales du Yémen. Les ministres ont réaffirmé leur engagement à poursuivre les dialogues stratégiques sur les questions prioritaires de politique étrangère au cours de l'année à venir, notamment sur le Moyen-Orient, l'Ukraine, la Méditerranée orientale et les Balkans occidentaux.</w:t>
      </w:r>
    </w:p>
    <w:p w:rsidR="00E00CC7" w:rsidRDefault="00DC2821">
      <w:pPr>
        <w:pStyle w:val="BodyText"/>
        <w:jc w:val="both"/>
        <w:rPr>
          <w:rFonts w:ascii="Tahoma" w:hAnsi="Tahoma" w:cstheme="minorHAnsi"/>
          <w:sz w:val="28"/>
          <w:szCs w:val="28"/>
          <w:lang w:val="fr-FR"/>
        </w:rPr>
      </w:pPr>
      <w:r>
        <w:rPr>
          <w:rFonts w:ascii="Tahoma" w:hAnsi="Tahoma" w:cstheme="minorHAnsi"/>
          <w:sz w:val="28"/>
          <w:szCs w:val="28"/>
          <w:lang w:val="fr-FR"/>
        </w:rPr>
        <w:t>Les ministres ont échangé leurs points de vue sur l'évolution de la situation dans les Balkans occidentaux et se sont félicités des résultats du récent sommet du processus de Berlin organisé par le Royaume-Uni. Ils ont réitéré leur ferme soutien au dialogue entre Belgrade et Pristina facilité par l'UE et ont reconnu la nécessité de prêter attention à l'évolution de la situation en Bosnie-Herzégovine. L'intégration des Balkans occidentaux dans l'UE reste une priorité en tant qu'investissement pour la sécurité, la stabilité et la prospérité en Europe.</w:t>
      </w:r>
    </w:p>
    <w:p w:rsidR="00E00CC7" w:rsidRDefault="00DC2821">
      <w:pPr>
        <w:pStyle w:val="BodyText"/>
        <w:jc w:val="both"/>
        <w:rPr>
          <w:rFonts w:ascii="Tahoma" w:hAnsi="Tahoma" w:cstheme="minorHAnsi"/>
          <w:sz w:val="28"/>
          <w:szCs w:val="28"/>
          <w:lang w:val="fr-FR"/>
        </w:rPr>
      </w:pPr>
      <w:r>
        <w:rPr>
          <w:rFonts w:ascii="Tahoma" w:hAnsi="Tahoma" w:cstheme="minorHAnsi"/>
          <w:sz w:val="28"/>
          <w:szCs w:val="28"/>
          <w:lang w:val="fr-FR"/>
        </w:rPr>
        <w:t>Les ministres sont convenus que les relations transatlantiques restaient au centre de nos intérêts et qu'il était important de continuer à travailler ensemble à la mise en place d'un programme positif, sur la base des intérêts communs en matière de sécurité et des relations économiques vitales.</w:t>
      </w:r>
    </w:p>
    <w:p w:rsidR="00E00CC7" w:rsidRDefault="00E00CC7">
      <w:pPr>
        <w:jc w:val="both"/>
        <w:rPr>
          <w:rFonts w:ascii="Tahoma" w:hAnsi="Tahoma" w:cstheme="minorHAnsi"/>
          <w:sz w:val="28"/>
          <w:szCs w:val="28"/>
          <w:lang w:val="fr-FR"/>
        </w:rPr>
      </w:pPr>
    </w:p>
    <w:p w:rsidR="00E00CC7" w:rsidRDefault="00DC2821">
      <w:pPr>
        <w:pStyle w:val="BodyText"/>
        <w:jc w:val="both"/>
        <w:rPr>
          <w:rFonts w:ascii="Tahoma" w:hAnsi="Tahoma"/>
          <w:sz w:val="28"/>
          <w:szCs w:val="28"/>
          <w:lang w:val="fr-FR"/>
        </w:rPr>
      </w:pPr>
      <w:r>
        <w:rPr>
          <w:rFonts w:ascii="Tahoma" w:hAnsi="Tahoma" w:cstheme="minorHAnsi"/>
          <w:sz w:val="28"/>
          <w:szCs w:val="28"/>
          <w:lang w:val="fr-FR"/>
        </w:rPr>
        <w:t xml:space="preserve">À la suite de l'élection de la Grèce en tant que membre non permanent du Conseil de sécurité des Nations </w:t>
      </w:r>
      <w:r w:rsidR="00C21F8C">
        <w:rPr>
          <w:rFonts w:ascii="Tahoma" w:hAnsi="Tahoma" w:cstheme="minorHAnsi"/>
          <w:sz w:val="28"/>
          <w:szCs w:val="28"/>
          <w:lang w:val="fr-FR"/>
        </w:rPr>
        <w:t>Unies</w:t>
      </w:r>
      <w:r>
        <w:rPr>
          <w:rFonts w:ascii="Tahoma" w:hAnsi="Tahoma" w:cstheme="minorHAnsi"/>
          <w:sz w:val="28"/>
          <w:szCs w:val="28"/>
          <w:lang w:val="fr-FR"/>
        </w:rPr>
        <w:t xml:space="preserve"> (pour la période 2025-2026) en juin 2024, et dans la perspective du début du mandat grec, le 1</w:t>
      </w:r>
      <w:r>
        <w:rPr>
          <w:rFonts w:ascii="Tahoma" w:hAnsi="Tahoma" w:cstheme="minorHAnsi"/>
          <w:position w:val="9"/>
          <w:sz w:val="28"/>
          <w:szCs w:val="28"/>
          <w:lang w:val="fr-FR"/>
        </w:rPr>
        <w:t>er</w:t>
      </w:r>
      <w:r>
        <w:rPr>
          <w:rFonts w:ascii="Tahoma" w:hAnsi="Tahoma" w:cstheme="minorHAnsi"/>
          <w:sz w:val="28"/>
          <w:szCs w:val="28"/>
          <w:lang w:val="fr-FR"/>
        </w:rPr>
        <w:t xml:space="preserve"> janvier 2025, le Royaume-Uni a fourni une assistance et des conseils à la Grèce dans le cadre des préparatifs en vue des tâches exigeantes qui attendent un membre élu du Conseil de sécurité des Nations </w:t>
      </w:r>
      <w:r w:rsidR="00C21F8C">
        <w:rPr>
          <w:rFonts w:ascii="Tahoma" w:hAnsi="Tahoma" w:cstheme="minorHAnsi"/>
          <w:sz w:val="28"/>
          <w:szCs w:val="28"/>
          <w:lang w:val="fr-FR"/>
        </w:rPr>
        <w:t>Unies</w:t>
      </w:r>
      <w:r>
        <w:rPr>
          <w:rFonts w:ascii="Tahoma" w:hAnsi="Tahoma" w:cstheme="minorHAnsi"/>
          <w:sz w:val="28"/>
          <w:szCs w:val="28"/>
          <w:lang w:val="fr-FR"/>
        </w:rPr>
        <w:t xml:space="preserve">. Dans le cadre du Conseil de sécurité, les deux pays travaillent ensemble de manière constructive </w:t>
      </w:r>
      <w:r>
        <w:rPr>
          <w:rFonts w:ascii="Tahoma" w:hAnsi="Tahoma" w:cstheme="minorHAnsi"/>
          <w:sz w:val="28"/>
          <w:szCs w:val="28"/>
          <w:lang w:val="fr-FR"/>
        </w:rPr>
        <w:lastRenderedPageBreak/>
        <w:t xml:space="preserve">afin de relever les défis actuels graves pour la paix et la sécurité internationales. Les ministres ont noté avec satisfaction que les deux pays ont collaboré étroitement dans le domaine du soutien mutuel à leurs candidatures respectives au sein de divers organismes internationaux et sont convenus qu'il était possible d'approfondir encore la coopération bilatérale tant au sein des Nations </w:t>
      </w:r>
      <w:r w:rsidR="00C21F8C">
        <w:rPr>
          <w:rFonts w:ascii="Tahoma" w:hAnsi="Tahoma" w:cstheme="minorHAnsi"/>
          <w:sz w:val="28"/>
          <w:szCs w:val="28"/>
          <w:lang w:val="fr-FR"/>
        </w:rPr>
        <w:t>Unies</w:t>
      </w:r>
      <w:r>
        <w:rPr>
          <w:rFonts w:ascii="Tahoma" w:hAnsi="Tahoma" w:cstheme="minorHAnsi"/>
          <w:sz w:val="28"/>
          <w:szCs w:val="28"/>
          <w:lang w:val="fr-FR"/>
        </w:rPr>
        <w:t xml:space="preserve"> que dans d'autres organisations internationales.</w:t>
      </w:r>
    </w:p>
    <w:p w:rsidR="00E00CC7" w:rsidRDefault="00DC2821">
      <w:pPr>
        <w:pStyle w:val="BodyText"/>
        <w:jc w:val="both"/>
        <w:rPr>
          <w:rFonts w:ascii="Tahoma" w:hAnsi="Tahoma"/>
          <w:sz w:val="28"/>
          <w:szCs w:val="28"/>
          <w:lang w:val="fr-FR"/>
        </w:rPr>
      </w:pPr>
      <w:r>
        <w:rPr>
          <w:rFonts w:ascii="Tahoma" w:hAnsi="Tahoma" w:cstheme="minorHAnsi"/>
          <w:bCs/>
          <w:sz w:val="28"/>
          <w:szCs w:val="28"/>
          <w:lang w:val="fr-FR"/>
        </w:rPr>
        <w:t>Dans un contexte marqué par la multiplication des défis et des menaces pour la sécurité dans un environnement géopolitique en mutation, la Grèce, en tant qu'État membre de l'UE, s'engage de manière constructive et en assumant des rôles de premier plan dans le développement des capacités de défense communes de l'UE, en vue d'accélérer le renforcement de notre sécurité et de notre défense, tout en tenant compte des intérêts vitaux de tous les États membres de l'UE en matière de défense et de sécurité.</w:t>
      </w:r>
    </w:p>
    <w:p w:rsidR="00E00CC7" w:rsidRDefault="00DC2821">
      <w:pPr>
        <w:pStyle w:val="BodyText"/>
        <w:jc w:val="both"/>
        <w:rPr>
          <w:rFonts w:ascii="Tahoma" w:hAnsi="Tahoma" w:cstheme="minorHAnsi"/>
          <w:sz w:val="28"/>
          <w:szCs w:val="28"/>
          <w:lang w:val="fr-FR"/>
        </w:rPr>
      </w:pPr>
      <w:r>
        <w:rPr>
          <w:rFonts w:ascii="Tahoma" w:hAnsi="Tahoma" w:cstheme="minorHAnsi"/>
          <w:sz w:val="28"/>
          <w:szCs w:val="28"/>
          <w:lang w:val="fr-FR"/>
        </w:rPr>
        <w:t>Dans ce contexte, les ministres ont pris note de la volonté du Royaume-Uni de participer au renforcement de l'industrie européenne de la défense par le biais de marchés publics communs au titre du règlement (UE) n° 2025/1106 du Conseil (instrument SAFE) et se sont félicités de l'ouverture des négociations sur les modalités de la participation du Royaume-Uni à l'instrument SAFE.</w:t>
      </w:r>
    </w:p>
    <w:p w:rsidR="00E00CC7" w:rsidRPr="00E56A3D" w:rsidRDefault="00E00CC7">
      <w:pPr>
        <w:jc w:val="both"/>
        <w:rPr>
          <w:rFonts w:cstheme="minorHAnsi"/>
          <w:b/>
          <w:lang w:val="fr-FR"/>
        </w:rPr>
      </w:pPr>
    </w:p>
    <w:p w:rsidR="00E00CC7" w:rsidRDefault="00DC2821">
      <w:pPr>
        <w:pStyle w:val="BodyText"/>
        <w:jc w:val="both"/>
        <w:rPr>
          <w:rFonts w:ascii="Tahoma" w:hAnsi="Tahoma" w:cstheme="minorHAnsi"/>
          <w:b/>
          <w:sz w:val="28"/>
          <w:szCs w:val="28"/>
          <w:lang w:val="fr-FR"/>
        </w:rPr>
      </w:pPr>
      <w:r>
        <w:rPr>
          <w:rFonts w:ascii="Tahoma" w:hAnsi="Tahoma" w:cstheme="minorHAnsi"/>
          <w:b/>
          <w:sz w:val="28"/>
          <w:szCs w:val="28"/>
          <w:lang w:val="fr-FR"/>
        </w:rPr>
        <w:t>Défense et sécurité</w:t>
      </w:r>
    </w:p>
    <w:p w:rsidR="00E00CC7" w:rsidRDefault="00DC2821">
      <w:pPr>
        <w:pStyle w:val="BodyText"/>
        <w:spacing w:after="160" w:line="259" w:lineRule="auto"/>
        <w:jc w:val="both"/>
        <w:rPr>
          <w:rFonts w:ascii="Tahoma" w:hAnsi="Tahoma" w:cstheme="minorHAnsi"/>
          <w:sz w:val="28"/>
          <w:szCs w:val="28"/>
          <w:lang w:val="fr-FR"/>
        </w:rPr>
      </w:pPr>
      <w:r>
        <w:rPr>
          <w:rFonts w:ascii="Tahoma" w:hAnsi="Tahoma" w:cstheme="minorHAnsi"/>
          <w:sz w:val="28"/>
          <w:szCs w:val="28"/>
          <w:lang w:val="fr-FR"/>
        </w:rPr>
        <w:t>En tant qu'alliés et partenaires de longue date de l'OTAN, les deux ministres ont réaffirmé l'engagement de leurs pays à continuer d'œuvrer en faveur d'une coopération renforcée en matière de défense.</w:t>
      </w:r>
    </w:p>
    <w:p w:rsidR="00E00CC7" w:rsidRDefault="00DC2821">
      <w:pPr>
        <w:pStyle w:val="BodyText"/>
        <w:spacing w:after="160" w:line="259" w:lineRule="auto"/>
        <w:jc w:val="both"/>
        <w:rPr>
          <w:rFonts w:ascii="Tahoma" w:hAnsi="Tahoma" w:cstheme="minorHAnsi"/>
          <w:sz w:val="28"/>
          <w:szCs w:val="28"/>
          <w:lang w:val="fr-FR"/>
        </w:rPr>
      </w:pPr>
      <w:r>
        <w:rPr>
          <w:rFonts w:ascii="Tahoma" w:hAnsi="Tahoma" w:cstheme="minorHAnsi"/>
          <w:sz w:val="28"/>
          <w:szCs w:val="28"/>
          <w:lang w:val="fr-FR"/>
        </w:rPr>
        <w:t>Le Royaume-Uni et la Grèce ont signé en février 2023 la « déclaration de vision commune » (JVS), qui s'est avérée être un outil utile pour renforcer et approfondir notre partenariat en matière de défense et d'industrie de défense.</w:t>
      </w:r>
    </w:p>
    <w:p w:rsidR="00E00CC7" w:rsidRDefault="00DC2821">
      <w:pPr>
        <w:pStyle w:val="BodyText"/>
        <w:spacing w:after="160" w:line="259" w:lineRule="auto"/>
        <w:jc w:val="both"/>
        <w:rPr>
          <w:rFonts w:ascii="Tahoma" w:hAnsi="Tahoma" w:cstheme="minorHAnsi"/>
          <w:sz w:val="28"/>
          <w:szCs w:val="28"/>
          <w:lang w:val="fr-FR"/>
        </w:rPr>
      </w:pPr>
      <w:r>
        <w:rPr>
          <w:rFonts w:ascii="Tahoma" w:hAnsi="Tahoma" w:cstheme="minorHAnsi"/>
          <w:sz w:val="28"/>
          <w:szCs w:val="28"/>
          <w:lang w:val="fr-FR"/>
        </w:rPr>
        <w:t>Les ministres de la Défense se sont réjouis de l'approfondissement et du renforcement de la coopération entre les industries de défense et les écosystèmes de défense de la Grèce et du Royaume-Uni.</w:t>
      </w:r>
    </w:p>
    <w:p w:rsidR="00E00CC7" w:rsidRDefault="00DC2821">
      <w:pPr>
        <w:pStyle w:val="BodyText"/>
        <w:spacing w:after="160" w:line="259" w:lineRule="auto"/>
        <w:jc w:val="both"/>
        <w:rPr>
          <w:rFonts w:ascii="Tahoma" w:hAnsi="Tahoma" w:cstheme="minorHAnsi"/>
          <w:sz w:val="28"/>
          <w:szCs w:val="28"/>
          <w:lang w:val="fr-FR"/>
        </w:rPr>
      </w:pPr>
      <w:r>
        <w:rPr>
          <w:rFonts w:ascii="Tahoma" w:hAnsi="Tahoma" w:cstheme="minorHAnsi"/>
          <w:sz w:val="28"/>
          <w:szCs w:val="28"/>
          <w:lang w:val="fr-FR"/>
        </w:rPr>
        <w:lastRenderedPageBreak/>
        <w:t>Les ministres se sont félicités des progrès substantiels réalisés en matière d'interopérabilité entre les forces armées britanniques et helléniques et prévoient de poursuivre la coopération en matière de défense, notamment par le biais d'exercices militaires, de formations et d'enseignements.</w:t>
      </w:r>
    </w:p>
    <w:p w:rsidR="00E00CC7" w:rsidRDefault="00DC2821">
      <w:pPr>
        <w:pStyle w:val="BodyText"/>
        <w:spacing w:after="160" w:line="259" w:lineRule="auto"/>
        <w:jc w:val="both"/>
        <w:rPr>
          <w:rFonts w:ascii="Tahoma" w:hAnsi="Tahoma" w:cstheme="minorHAnsi"/>
          <w:sz w:val="28"/>
          <w:szCs w:val="28"/>
          <w:lang w:val="fr-FR"/>
        </w:rPr>
      </w:pPr>
      <w:r>
        <w:rPr>
          <w:rFonts w:ascii="Tahoma" w:hAnsi="Tahoma" w:cstheme="minorHAnsi"/>
          <w:sz w:val="28"/>
          <w:szCs w:val="28"/>
          <w:lang w:val="fr-FR"/>
        </w:rPr>
        <w:t>Les deux ministères travaillent actuellement à l'élaboration d'une « feuille de route annuelle » en vue de la finaliser rapidement. S'appuyant sur la JVS, cette feuille de route présentera de nouvelles propositions visant à renforcer la coopération bilatérale en matière de défense entre la Grèce et le Royaume-Uni.</w:t>
      </w:r>
    </w:p>
    <w:p w:rsidR="00E00CC7" w:rsidRDefault="00DC2821">
      <w:pPr>
        <w:pStyle w:val="BodyText"/>
        <w:spacing w:after="160" w:line="259" w:lineRule="auto"/>
        <w:jc w:val="both"/>
        <w:rPr>
          <w:rFonts w:ascii="Tahoma" w:hAnsi="Tahoma" w:cstheme="minorHAnsi"/>
          <w:sz w:val="28"/>
          <w:szCs w:val="28"/>
          <w:lang w:val="fr-FR"/>
        </w:rPr>
      </w:pPr>
      <w:r>
        <w:rPr>
          <w:rFonts w:ascii="Tahoma" w:hAnsi="Tahoma" w:cstheme="minorHAnsi"/>
          <w:sz w:val="28"/>
          <w:szCs w:val="28"/>
          <w:lang w:val="fr-FR"/>
        </w:rPr>
        <w:t>Ils se sont également réjouis des progrès réalisés dans le cadre des propositions de coopération intergouvernementale concernant les actifs de défense.</w:t>
      </w:r>
    </w:p>
    <w:p w:rsidR="00E00CC7" w:rsidRDefault="00DC2821">
      <w:pPr>
        <w:pStyle w:val="BodyText"/>
        <w:spacing w:after="160" w:line="259" w:lineRule="auto"/>
        <w:jc w:val="both"/>
        <w:rPr>
          <w:rFonts w:ascii="Tahoma" w:hAnsi="Tahoma" w:cstheme="minorHAnsi"/>
          <w:sz w:val="28"/>
          <w:szCs w:val="28"/>
          <w:lang w:val="fr-FR"/>
        </w:rPr>
      </w:pPr>
      <w:r>
        <w:rPr>
          <w:rFonts w:ascii="Tahoma" w:hAnsi="Tahoma" w:cstheme="minorHAnsi"/>
          <w:sz w:val="28"/>
          <w:szCs w:val="28"/>
          <w:lang w:val="fr-FR"/>
        </w:rPr>
        <w:t>Les deux ministres sont convenus que les autorités compétentes tiendraient régulièrement des consultations bilatérales afin d'évaluer les progrès accomplis, d'échanger des informations et de proposer de nouvelles initiatives de coopération, notamment, mais sans s'y limiter, dans les domaines suivants :</w:t>
      </w:r>
    </w:p>
    <w:p w:rsidR="00E00CC7" w:rsidRDefault="00DC2821">
      <w:pPr>
        <w:pStyle w:val="BodyText"/>
        <w:spacing w:after="160" w:line="259" w:lineRule="auto"/>
        <w:jc w:val="both"/>
        <w:rPr>
          <w:rFonts w:ascii="Tahoma" w:hAnsi="Tahoma" w:cstheme="minorHAnsi"/>
          <w:sz w:val="28"/>
          <w:szCs w:val="28"/>
          <w:lang w:val="fr-FR"/>
        </w:rPr>
      </w:pPr>
      <w:r>
        <w:rPr>
          <w:rFonts w:ascii="Tahoma" w:hAnsi="Tahoma" w:cstheme="minorHAnsi"/>
          <w:sz w:val="28"/>
          <w:szCs w:val="28"/>
          <w:lang w:val="fr-FR"/>
        </w:rPr>
        <w:t> la « feuille de route annuelle », qui sera signée dès que possible, s'appuie sur la « déclaration de vision commune » comme fondement de nos activités de défense communes ;</w:t>
      </w:r>
    </w:p>
    <w:p w:rsidR="00E00CC7" w:rsidRDefault="00DC2821" w:rsidP="00E56A3D">
      <w:pPr>
        <w:pStyle w:val="BodyText"/>
        <w:numPr>
          <w:ilvl w:val="0"/>
          <w:numId w:val="6"/>
        </w:numPr>
        <w:spacing w:after="160" w:line="259" w:lineRule="auto"/>
        <w:jc w:val="both"/>
        <w:rPr>
          <w:rFonts w:ascii="Tahoma" w:hAnsi="Tahoma" w:cstheme="minorHAnsi"/>
          <w:sz w:val="28"/>
          <w:szCs w:val="28"/>
          <w:lang w:val="fr-FR"/>
        </w:rPr>
      </w:pPr>
      <w:proofErr w:type="gramStart"/>
      <w:r>
        <w:rPr>
          <w:rFonts w:ascii="Tahoma" w:hAnsi="Tahoma" w:cstheme="minorHAnsi"/>
          <w:sz w:val="28"/>
          <w:szCs w:val="28"/>
          <w:lang w:val="fr-FR"/>
        </w:rPr>
        <w:t>travailler</w:t>
      </w:r>
      <w:proofErr w:type="gramEnd"/>
      <w:r>
        <w:rPr>
          <w:rFonts w:ascii="Tahoma" w:hAnsi="Tahoma" w:cstheme="minorHAnsi"/>
          <w:sz w:val="28"/>
          <w:szCs w:val="28"/>
          <w:lang w:val="fr-FR"/>
        </w:rPr>
        <w:t xml:space="preserve"> en étroite collaboration en tant qu'alliés de l'OTAN afin de garantir que l'Alliance reste la pierre angulaire de la sécurité euro-atlantique et de renforcer la résilience de l'Europe face aux menaces hybrides et sécuritaires ;</w:t>
      </w:r>
    </w:p>
    <w:p w:rsidR="00E00CC7" w:rsidRDefault="00DC2821" w:rsidP="00E56A3D">
      <w:pPr>
        <w:pStyle w:val="BodyText"/>
        <w:numPr>
          <w:ilvl w:val="0"/>
          <w:numId w:val="6"/>
        </w:numPr>
        <w:spacing w:after="160" w:line="259" w:lineRule="auto"/>
        <w:jc w:val="both"/>
        <w:rPr>
          <w:rFonts w:ascii="Tahoma" w:hAnsi="Tahoma" w:cstheme="minorHAnsi"/>
          <w:sz w:val="28"/>
          <w:szCs w:val="28"/>
          <w:lang w:val="fr-FR"/>
        </w:rPr>
      </w:pPr>
      <w:proofErr w:type="gramStart"/>
      <w:r>
        <w:rPr>
          <w:rFonts w:ascii="Tahoma" w:hAnsi="Tahoma" w:cstheme="minorHAnsi"/>
          <w:sz w:val="28"/>
          <w:szCs w:val="28"/>
          <w:lang w:val="fr-FR"/>
        </w:rPr>
        <w:t>explorer</w:t>
      </w:r>
      <w:proofErr w:type="gramEnd"/>
      <w:r>
        <w:rPr>
          <w:rFonts w:ascii="Tahoma" w:hAnsi="Tahoma" w:cstheme="minorHAnsi"/>
          <w:sz w:val="28"/>
          <w:szCs w:val="28"/>
          <w:lang w:val="fr-FR"/>
        </w:rPr>
        <w:t xml:space="preserve"> les possibilités de coopération entre nos industries de défense afin de soutenir le développement mutuel des technologies, des capacités et des compétences.</w:t>
      </w:r>
    </w:p>
    <w:p w:rsidR="00E00CC7" w:rsidRDefault="00E00CC7">
      <w:pPr>
        <w:pStyle w:val="BodyText"/>
        <w:spacing w:after="160" w:line="259" w:lineRule="auto"/>
        <w:jc w:val="both"/>
        <w:rPr>
          <w:rFonts w:ascii="Tahoma" w:hAnsi="Tahoma" w:cstheme="minorHAnsi"/>
          <w:b/>
          <w:sz w:val="28"/>
          <w:szCs w:val="28"/>
          <w:lang w:val="fr-FR"/>
        </w:rPr>
      </w:pPr>
    </w:p>
    <w:p w:rsidR="00E00CC7" w:rsidRDefault="00DC2821">
      <w:pPr>
        <w:pStyle w:val="BodyText"/>
        <w:suppressAutoHyphens w:val="0"/>
        <w:jc w:val="both"/>
        <w:rPr>
          <w:rFonts w:ascii="Tahoma" w:hAnsi="Tahoma" w:cstheme="minorHAnsi"/>
          <w:b/>
          <w:bCs/>
          <w:sz w:val="28"/>
          <w:szCs w:val="28"/>
          <w:lang w:val="fr-FR"/>
        </w:rPr>
      </w:pPr>
      <w:r>
        <w:rPr>
          <w:rFonts w:ascii="Tahoma" w:hAnsi="Tahoma" w:cstheme="minorHAnsi"/>
          <w:b/>
          <w:bCs/>
          <w:sz w:val="28"/>
          <w:szCs w:val="28"/>
          <w:lang w:val="fr-FR"/>
        </w:rPr>
        <w:t>Migration</w:t>
      </w:r>
    </w:p>
    <w:p w:rsidR="00E00CC7" w:rsidRDefault="00DC2821">
      <w:pPr>
        <w:pStyle w:val="BodyText"/>
        <w:suppressAutoHyphens w:val="0"/>
        <w:spacing w:after="160" w:line="259" w:lineRule="auto"/>
        <w:jc w:val="both"/>
        <w:rPr>
          <w:rFonts w:ascii="Tahoma" w:hAnsi="Tahoma" w:cstheme="minorHAnsi"/>
          <w:bCs/>
          <w:sz w:val="28"/>
          <w:szCs w:val="28"/>
          <w:lang w:val="fr-FR"/>
        </w:rPr>
      </w:pPr>
      <w:r>
        <w:rPr>
          <w:rFonts w:ascii="Tahoma" w:hAnsi="Tahoma" w:cstheme="minorHAnsi"/>
          <w:bCs/>
          <w:sz w:val="28"/>
          <w:szCs w:val="28"/>
          <w:lang w:val="fr-FR"/>
        </w:rPr>
        <w:t xml:space="preserve">Les ministres ont pris note de l'étroite coopération entre le ministère grec de la Migration et de l'Asile et le ministère britannique de l'Intérieur sur les questions migratoires. Compte tenu de l'importance que revêtent les questions liées à la migration pour les deux pays, les </w:t>
      </w:r>
      <w:r>
        <w:rPr>
          <w:rFonts w:ascii="Tahoma" w:hAnsi="Tahoma" w:cstheme="minorHAnsi"/>
          <w:bCs/>
          <w:sz w:val="28"/>
          <w:szCs w:val="28"/>
          <w:lang w:val="fr-FR"/>
        </w:rPr>
        <w:lastRenderedPageBreak/>
        <w:t>ministres ont proposé d'approfondir leur dialogue bilatéral ciblé et leur échange de bonnes pratiques sur ces questions, notamment en matière de lutte contre la migration illégale, l’introduction clandestine et la traite des migrants, mais aussi en matière d'efforts visant à faciliter la migration légale. À cette fin, ils ont discuté de la possibilité d'engager un dialogue structuré sur la migration entre le ministère des Affaires étrangères de la République hellénique et le ministère des Affaires étrangères, du Commonwealth et du Développement du Royaume-Uni.</w:t>
      </w:r>
    </w:p>
    <w:p w:rsidR="00E00CC7" w:rsidRPr="00E56A3D" w:rsidRDefault="00E00CC7">
      <w:pPr>
        <w:suppressAutoHyphens w:val="0"/>
        <w:jc w:val="both"/>
        <w:rPr>
          <w:rFonts w:cstheme="minorHAnsi"/>
          <w:b/>
          <w:lang w:val="fr-FR"/>
        </w:rPr>
      </w:pPr>
    </w:p>
    <w:p w:rsidR="00E00CC7" w:rsidRDefault="00DC2821">
      <w:pPr>
        <w:pStyle w:val="BodyText"/>
        <w:suppressAutoHyphens w:val="0"/>
        <w:jc w:val="both"/>
        <w:rPr>
          <w:rFonts w:ascii="Tahoma" w:hAnsi="Tahoma" w:cstheme="minorHAnsi"/>
          <w:b/>
          <w:sz w:val="28"/>
          <w:szCs w:val="28"/>
          <w:lang w:val="fr-FR"/>
        </w:rPr>
      </w:pPr>
      <w:r>
        <w:rPr>
          <w:rFonts w:ascii="Tahoma" w:hAnsi="Tahoma" w:cstheme="minorHAnsi"/>
          <w:b/>
          <w:sz w:val="28"/>
          <w:szCs w:val="28"/>
          <w:lang w:val="fr-FR"/>
        </w:rPr>
        <w:t>Application de la loi, criminalité organisée grave et terrorisme</w:t>
      </w:r>
    </w:p>
    <w:p w:rsidR="00E00CC7" w:rsidRDefault="00DC2821">
      <w:pPr>
        <w:pStyle w:val="BodyText"/>
        <w:suppressAutoHyphens w:val="0"/>
        <w:spacing w:after="160" w:line="259" w:lineRule="auto"/>
        <w:jc w:val="both"/>
        <w:rPr>
          <w:rFonts w:ascii="Tahoma" w:hAnsi="Tahoma" w:cstheme="minorHAnsi"/>
          <w:sz w:val="28"/>
          <w:szCs w:val="28"/>
          <w:lang w:val="fr-FR"/>
        </w:rPr>
      </w:pPr>
      <w:r>
        <w:rPr>
          <w:rFonts w:ascii="Tahoma" w:hAnsi="Tahoma" w:cstheme="minorHAnsi"/>
          <w:sz w:val="28"/>
          <w:szCs w:val="28"/>
          <w:lang w:val="fr-FR"/>
        </w:rPr>
        <w:t>Les ministres se sont félicités de la poursuite de la coopération étroite entre la Grèce et le Royaume-Uni dans la lutte contre la criminalité organisée grave et le terrorisme. Depuis le dernier examen, les deux parties ont approfondi leur collaboration opérationnelle, notamment dans la lutte contre la criminalité organisée liée à l'immigration, le trafic de drogue, le commerce illicite de tabac et le blanchiment d'argent, grâce à d'importantes actions conjointes soutenues par le groupe de travail Grèce-Royaume-Uni et le cadre EMPACT. La National Crime Agency (NCA) et le HMRC ont apporté un soutien important, notamment en fournissant du matériel technique et en dispensant des formations sur les sources d'informations humaines secrètes.</w:t>
      </w:r>
    </w:p>
    <w:p w:rsidR="00E00CC7" w:rsidRDefault="00E00CC7">
      <w:pPr>
        <w:pStyle w:val="BodyText"/>
        <w:suppressAutoHyphens w:val="0"/>
        <w:spacing w:after="160" w:line="259" w:lineRule="auto"/>
        <w:jc w:val="both"/>
        <w:rPr>
          <w:rFonts w:ascii="Tahoma" w:hAnsi="Tahoma" w:cstheme="minorHAnsi"/>
          <w:sz w:val="28"/>
          <w:szCs w:val="28"/>
          <w:lang w:val="fr-FR"/>
        </w:rPr>
      </w:pPr>
    </w:p>
    <w:p w:rsidR="00E00CC7" w:rsidRPr="00E56A3D" w:rsidRDefault="00DC2821">
      <w:pPr>
        <w:pStyle w:val="BodyText"/>
        <w:numPr>
          <w:ilvl w:val="0"/>
          <w:numId w:val="2"/>
        </w:numPr>
        <w:suppressAutoHyphens w:val="0"/>
        <w:spacing w:after="160" w:line="259" w:lineRule="auto"/>
        <w:jc w:val="both"/>
        <w:rPr>
          <w:rFonts w:ascii="Tahoma" w:hAnsi="Tahoma"/>
          <w:sz w:val="28"/>
          <w:szCs w:val="28"/>
          <w:lang w:val="fr-FR"/>
        </w:rPr>
      </w:pPr>
      <w:r>
        <w:rPr>
          <w:rFonts w:ascii="Tahoma" w:hAnsi="Tahoma" w:cstheme="minorHAnsi"/>
          <w:sz w:val="28"/>
          <w:szCs w:val="28"/>
          <w:lang w:val="fr-FR"/>
        </w:rPr>
        <w:t>En outre, en mai 2025, les deux parties ont cosigné un plan d'action bilatéral visant à renforcer la coopération stratégique et opérationnelle dans la lutte contre la criminalité organisée et les finances illicites.</w:t>
      </w:r>
    </w:p>
    <w:p w:rsidR="00E00CC7" w:rsidRDefault="00DC2821">
      <w:pPr>
        <w:pStyle w:val="BodyText"/>
        <w:numPr>
          <w:ilvl w:val="0"/>
          <w:numId w:val="1"/>
        </w:numPr>
        <w:tabs>
          <w:tab w:val="clear" w:pos="709"/>
          <w:tab w:val="left" w:pos="0"/>
        </w:tabs>
        <w:suppressAutoHyphens w:val="0"/>
        <w:spacing w:after="0" w:line="259" w:lineRule="auto"/>
        <w:jc w:val="both"/>
        <w:rPr>
          <w:rFonts w:ascii="Tahoma" w:hAnsi="Tahoma" w:cstheme="minorHAnsi"/>
          <w:sz w:val="28"/>
          <w:szCs w:val="28"/>
          <w:lang w:val="fr-FR"/>
        </w:rPr>
      </w:pPr>
      <w:r>
        <w:rPr>
          <w:rFonts w:ascii="Tahoma" w:hAnsi="Tahoma" w:cstheme="minorHAnsi"/>
          <w:sz w:val="28"/>
          <w:szCs w:val="28"/>
          <w:lang w:val="fr-FR"/>
        </w:rPr>
        <w:t>Dans le domaine de la lutte contre le terrorisme, la coopération reste solide, avec des échanges d'informations réguliers, la participation à des formations spécialisées et l'utilisation des canaux sécurisés d'Europol.</w:t>
      </w:r>
    </w:p>
    <w:p w:rsidR="00E00CC7" w:rsidRDefault="00E00CC7">
      <w:pPr>
        <w:pStyle w:val="BodyText"/>
        <w:suppressAutoHyphens w:val="0"/>
        <w:spacing w:after="0" w:line="259" w:lineRule="auto"/>
        <w:jc w:val="both"/>
        <w:rPr>
          <w:rFonts w:ascii="Tahoma" w:hAnsi="Tahoma" w:cstheme="minorHAnsi"/>
          <w:sz w:val="28"/>
          <w:szCs w:val="28"/>
          <w:lang w:val="fr-FR"/>
        </w:rPr>
      </w:pPr>
    </w:p>
    <w:p w:rsidR="00E00CC7" w:rsidRDefault="00DC2821">
      <w:pPr>
        <w:pStyle w:val="BodyText"/>
        <w:numPr>
          <w:ilvl w:val="0"/>
          <w:numId w:val="1"/>
        </w:numPr>
        <w:tabs>
          <w:tab w:val="clear" w:pos="709"/>
          <w:tab w:val="left" w:pos="0"/>
        </w:tabs>
        <w:suppressAutoHyphens w:val="0"/>
        <w:spacing w:line="259" w:lineRule="auto"/>
        <w:jc w:val="both"/>
        <w:rPr>
          <w:rFonts w:ascii="Tahoma" w:hAnsi="Tahoma" w:cstheme="minorHAnsi"/>
          <w:sz w:val="28"/>
          <w:szCs w:val="28"/>
          <w:lang w:val="fr-FR"/>
        </w:rPr>
      </w:pPr>
      <w:r>
        <w:rPr>
          <w:rFonts w:ascii="Tahoma" w:hAnsi="Tahoma" w:cstheme="minorHAnsi"/>
          <w:sz w:val="28"/>
          <w:szCs w:val="28"/>
          <w:lang w:val="fr-FR"/>
        </w:rPr>
        <w:lastRenderedPageBreak/>
        <w:t>Les échanges sur la lutte contre la violence liée au sport et la violence sexiste ont également progressé grâce à des ateliers conjoints et à des visites d'experts.</w:t>
      </w:r>
    </w:p>
    <w:p w:rsidR="00E00CC7" w:rsidRDefault="00E00CC7">
      <w:pPr>
        <w:pStyle w:val="BodyText"/>
        <w:suppressAutoHyphens w:val="0"/>
        <w:spacing w:after="160" w:line="259" w:lineRule="auto"/>
        <w:jc w:val="both"/>
        <w:rPr>
          <w:rFonts w:ascii="Tahoma" w:hAnsi="Tahoma" w:cstheme="minorHAnsi"/>
          <w:sz w:val="28"/>
          <w:szCs w:val="28"/>
          <w:lang w:val="fr-FR"/>
        </w:rPr>
      </w:pPr>
    </w:p>
    <w:p w:rsidR="00E00CC7" w:rsidRDefault="00DC2821">
      <w:pPr>
        <w:pStyle w:val="BodyText"/>
        <w:suppressAutoHyphens w:val="0"/>
        <w:spacing w:after="160" w:line="259" w:lineRule="auto"/>
        <w:jc w:val="both"/>
        <w:rPr>
          <w:rFonts w:ascii="Tahoma" w:hAnsi="Tahoma" w:cstheme="minorHAnsi"/>
          <w:sz w:val="28"/>
          <w:szCs w:val="28"/>
          <w:lang w:val="fr-FR"/>
        </w:rPr>
      </w:pPr>
      <w:r>
        <w:rPr>
          <w:rFonts w:ascii="Tahoma" w:hAnsi="Tahoma" w:cstheme="minorHAnsi"/>
          <w:sz w:val="28"/>
          <w:szCs w:val="28"/>
          <w:lang w:val="fr-FR"/>
        </w:rPr>
        <w:t>Les deux parties ont réaffirmé leur engagement à renforcer la coordination en réponse à l'évolution des défis régionaux et mondiaux en matière de sécurité.</w:t>
      </w:r>
    </w:p>
    <w:p w:rsidR="00E00CC7" w:rsidRPr="00E56A3D" w:rsidRDefault="00E00CC7">
      <w:pPr>
        <w:pStyle w:val="BodyText"/>
        <w:suppressAutoHyphens w:val="0"/>
        <w:spacing w:after="160" w:line="259" w:lineRule="auto"/>
        <w:jc w:val="both"/>
        <w:rPr>
          <w:rFonts w:cstheme="minorHAnsi"/>
          <w:lang w:val="fr-FR"/>
        </w:rPr>
      </w:pPr>
    </w:p>
    <w:p w:rsidR="00E00CC7" w:rsidRDefault="00DC2821">
      <w:pPr>
        <w:pStyle w:val="BodyText"/>
        <w:suppressAutoHyphens w:val="0"/>
        <w:jc w:val="both"/>
        <w:rPr>
          <w:rFonts w:ascii="Tahoma" w:hAnsi="Tahoma" w:cstheme="minorHAnsi"/>
          <w:b/>
          <w:iCs/>
          <w:sz w:val="28"/>
          <w:szCs w:val="28"/>
          <w:lang w:val="fr-FR"/>
        </w:rPr>
      </w:pPr>
      <w:r>
        <w:rPr>
          <w:rFonts w:ascii="Tahoma" w:hAnsi="Tahoma" w:cstheme="minorHAnsi"/>
          <w:b/>
          <w:iCs/>
          <w:sz w:val="28"/>
          <w:szCs w:val="28"/>
          <w:lang w:val="fr-FR"/>
        </w:rPr>
        <w:t>Affaires maritimes</w:t>
      </w:r>
    </w:p>
    <w:p w:rsidR="00E00CC7" w:rsidRDefault="00DC2821">
      <w:pPr>
        <w:pStyle w:val="BodyText"/>
        <w:suppressAutoHyphens w:val="0"/>
        <w:spacing w:after="160" w:line="259" w:lineRule="auto"/>
        <w:jc w:val="both"/>
        <w:rPr>
          <w:rFonts w:ascii="Tahoma" w:hAnsi="Tahoma" w:cstheme="minorHAnsi"/>
          <w:iCs/>
          <w:sz w:val="28"/>
          <w:szCs w:val="28"/>
          <w:lang w:val="fr-FR"/>
        </w:rPr>
      </w:pPr>
      <w:r>
        <w:rPr>
          <w:rFonts w:ascii="Tahoma" w:hAnsi="Tahoma" w:cstheme="minorHAnsi"/>
          <w:iCs/>
          <w:sz w:val="28"/>
          <w:szCs w:val="28"/>
          <w:lang w:val="fr-FR"/>
        </w:rPr>
        <w:t xml:space="preserve">Poursuivant la tradition maritime des deux nations, les ministres ont réaffirmé leur volonté de promouvoir une coopération constructive dans le secteur maritime au niveau bilatéral et international. </w:t>
      </w:r>
    </w:p>
    <w:p w:rsidR="00E00CC7" w:rsidRDefault="00DC2821">
      <w:pPr>
        <w:pStyle w:val="BodyText"/>
        <w:suppressAutoHyphens w:val="0"/>
        <w:spacing w:after="160" w:line="259" w:lineRule="auto"/>
        <w:jc w:val="both"/>
        <w:rPr>
          <w:rFonts w:ascii="Tahoma" w:hAnsi="Tahoma" w:cstheme="minorHAnsi"/>
          <w:iCs/>
          <w:sz w:val="28"/>
          <w:szCs w:val="28"/>
          <w:lang w:val="fr-FR"/>
        </w:rPr>
      </w:pPr>
      <w:r>
        <w:rPr>
          <w:rFonts w:ascii="Tahoma" w:hAnsi="Tahoma" w:cstheme="minorHAnsi"/>
          <w:iCs/>
          <w:sz w:val="28"/>
          <w:szCs w:val="28"/>
          <w:lang w:val="fr-FR"/>
        </w:rPr>
        <w:t>Il est donc dans notre intérêt, dans la perspective des prochaines élections au Conseil de l'OMI, qui auront lieu lors de la 34e session de l'Assemblée de l'OMI en novembre 2025, de poursuivre et d'approfondir notre coopération constructive grâce à notre soutien mutuel en tant que membres de catégorie « A » du Conseil de l'OMI.</w:t>
      </w:r>
    </w:p>
    <w:p w:rsidR="00E00CC7" w:rsidRDefault="00DC2821">
      <w:pPr>
        <w:pStyle w:val="BodyText"/>
        <w:suppressAutoHyphens w:val="0"/>
        <w:spacing w:after="160" w:line="259" w:lineRule="auto"/>
        <w:jc w:val="both"/>
        <w:rPr>
          <w:rFonts w:ascii="Tahoma" w:hAnsi="Tahoma" w:cstheme="minorHAnsi"/>
          <w:iCs/>
          <w:sz w:val="28"/>
          <w:szCs w:val="28"/>
          <w:lang w:val="fr-FR"/>
        </w:rPr>
      </w:pPr>
      <w:r>
        <w:rPr>
          <w:rFonts w:ascii="Tahoma" w:hAnsi="Tahoma" w:cstheme="minorHAnsi"/>
          <w:iCs/>
          <w:sz w:val="28"/>
          <w:szCs w:val="28"/>
          <w:lang w:val="fr-FR"/>
        </w:rPr>
        <w:t>La signature récente du protocole d'accord sur la coopération maritime bilatérale dans le domaine de la marine marchande (Londres, 29 janvier 2025) a été une priorité constante pour les deux pays et résulte d'une forte volonté politique et d'une coopération constructive fondée sur un esprit de compréhension mutuelle.</w:t>
      </w:r>
    </w:p>
    <w:p w:rsidR="00E00CC7" w:rsidRDefault="00DC2821">
      <w:pPr>
        <w:pStyle w:val="BodyText"/>
        <w:suppressAutoHyphens w:val="0"/>
        <w:spacing w:after="160" w:line="259" w:lineRule="auto"/>
        <w:jc w:val="both"/>
        <w:rPr>
          <w:rFonts w:ascii="Tahoma" w:hAnsi="Tahoma" w:cstheme="minorHAnsi"/>
          <w:iCs/>
          <w:sz w:val="28"/>
          <w:szCs w:val="28"/>
          <w:lang w:val="fr-FR"/>
        </w:rPr>
      </w:pPr>
      <w:r>
        <w:rPr>
          <w:rFonts w:ascii="Tahoma" w:hAnsi="Tahoma" w:cstheme="minorHAnsi"/>
          <w:iCs/>
          <w:sz w:val="28"/>
          <w:szCs w:val="28"/>
          <w:lang w:val="fr-FR"/>
        </w:rPr>
        <w:t xml:space="preserve">Dans le même temps, les ministres ont réaffirmé la volonté des deux parties de poursuivre les négociations en vue de la signature d'un protocole d'accord entre les ministères concernés sur le renforcement de la coopération bilatérale dans le domaine maritime, conformément à la « Convention internationale de 1978 sur les normes de formation des gens de mer, </w:t>
      </w:r>
      <w:r>
        <w:rPr>
          <w:rFonts w:ascii="Tahoma" w:hAnsi="Tahoma" w:cstheme="minorHAnsi"/>
          <w:iCs/>
          <w:color w:val="141624"/>
          <w:sz w:val="28"/>
          <w:szCs w:val="28"/>
          <w:lang w:val="fr-FR"/>
        </w:rPr>
        <w:t>de délivrance des brevets et</w:t>
      </w:r>
      <w:r>
        <w:rPr>
          <w:rFonts w:ascii="Tahoma" w:hAnsi="Tahoma" w:cstheme="minorHAnsi"/>
          <w:iCs/>
          <w:sz w:val="28"/>
          <w:szCs w:val="28"/>
          <w:lang w:val="fr-FR"/>
        </w:rPr>
        <w:t xml:space="preserve"> de </w:t>
      </w:r>
      <w:proofErr w:type="gramStart"/>
      <w:r>
        <w:rPr>
          <w:rFonts w:ascii="Tahoma" w:hAnsi="Tahoma" w:cstheme="minorHAnsi"/>
          <w:iCs/>
          <w:sz w:val="28"/>
          <w:szCs w:val="28"/>
          <w:lang w:val="fr-FR"/>
        </w:rPr>
        <w:t>veille  telle</w:t>
      </w:r>
      <w:proofErr w:type="gramEnd"/>
      <w:r>
        <w:rPr>
          <w:rFonts w:ascii="Tahoma" w:hAnsi="Tahoma" w:cstheme="minorHAnsi"/>
          <w:iCs/>
          <w:sz w:val="28"/>
          <w:szCs w:val="28"/>
          <w:lang w:val="fr-FR"/>
        </w:rPr>
        <w:t xml:space="preserve"> que modifiée », qui devrait être signée dès que possible.</w:t>
      </w:r>
    </w:p>
    <w:p w:rsidR="00E00CC7" w:rsidRPr="00E56A3D" w:rsidRDefault="00E00CC7">
      <w:pPr>
        <w:suppressAutoHyphens w:val="0"/>
        <w:jc w:val="both"/>
        <w:rPr>
          <w:rFonts w:cstheme="minorHAnsi"/>
          <w:b/>
          <w:lang w:val="fr-FR"/>
        </w:rPr>
      </w:pPr>
    </w:p>
    <w:p w:rsidR="00E00CC7" w:rsidRDefault="00DC2821">
      <w:pPr>
        <w:pStyle w:val="BodyText"/>
        <w:suppressAutoHyphens w:val="0"/>
        <w:jc w:val="both"/>
        <w:rPr>
          <w:rFonts w:ascii="Tahoma" w:hAnsi="Tahoma" w:cstheme="minorHAnsi"/>
          <w:b/>
          <w:sz w:val="28"/>
          <w:szCs w:val="28"/>
          <w:lang w:val="fr-FR"/>
        </w:rPr>
      </w:pPr>
      <w:r>
        <w:rPr>
          <w:rFonts w:ascii="Tahoma" w:hAnsi="Tahoma" w:cstheme="minorHAnsi"/>
          <w:b/>
          <w:sz w:val="28"/>
          <w:szCs w:val="28"/>
          <w:lang w:val="fr-FR"/>
        </w:rPr>
        <w:t>Éducation</w:t>
      </w:r>
    </w:p>
    <w:p w:rsidR="00E00CC7" w:rsidRDefault="00DC2821">
      <w:pPr>
        <w:pStyle w:val="BodyText"/>
        <w:suppressAutoHyphens w:val="0"/>
        <w:spacing w:after="160" w:line="259" w:lineRule="auto"/>
        <w:jc w:val="both"/>
        <w:rPr>
          <w:rFonts w:ascii="Tahoma" w:hAnsi="Tahoma" w:cstheme="minorHAnsi"/>
          <w:sz w:val="28"/>
          <w:szCs w:val="28"/>
          <w:lang w:val="fr-FR"/>
        </w:rPr>
      </w:pPr>
      <w:r>
        <w:rPr>
          <w:rFonts w:ascii="Tahoma" w:hAnsi="Tahoma" w:cstheme="minorHAnsi"/>
          <w:sz w:val="28"/>
          <w:szCs w:val="28"/>
          <w:lang w:val="fr-FR"/>
        </w:rPr>
        <w:t xml:space="preserve">Dans le domaine de l'éducation, un protocole d'accord a été signé le 13 février 2024 entre l'ambassade britannique à Athènes, le </w:t>
      </w:r>
      <w:r>
        <w:rPr>
          <w:rFonts w:ascii="Tahoma" w:hAnsi="Tahoma" w:cstheme="minorHAnsi"/>
          <w:sz w:val="28"/>
          <w:szCs w:val="28"/>
          <w:lang w:val="fr-FR"/>
        </w:rPr>
        <w:lastRenderedPageBreak/>
        <w:t xml:space="preserve">British Council </w:t>
      </w:r>
      <w:proofErr w:type="spellStart"/>
      <w:r>
        <w:rPr>
          <w:rFonts w:ascii="Tahoma" w:hAnsi="Tahoma" w:cstheme="minorHAnsi"/>
          <w:sz w:val="28"/>
          <w:szCs w:val="28"/>
          <w:lang w:val="fr-FR"/>
        </w:rPr>
        <w:t>Greece</w:t>
      </w:r>
      <w:proofErr w:type="spellEnd"/>
      <w:r>
        <w:rPr>
          <w:rFonts w:ascii="Tahoma" w:hAnsi="Tahoma" w:cstheme="minorHAnsi"/>
          <w:sz w:val="28"/>
          <w:szCs w:val="28"/>
          <w:lang w:val="fr-FR"/>
        </w:rPr>
        <w:t xml:space="preserve"> et </w:t>
      </w:r>
      <w:proofErr w:type="spellStart"/>
      <w:r>
        <w:rPr>
          <w:rFonts w:ascii="Tahoma" w:hAnsi="Tahoma" w:cstheme="minorHAnsi"/>
          <w:sz w:val="28"/>
          <w:szCs w:val="28"/>
          <w:lang w:val="fr-FR"/>
        </w:rPr>
        <w:t>Study</w:t>
      </w:r>
      <w:proofErr w:type="spellEnd"/>
      <w:r>
        <w:rPr>
          <w:rFonts w:ascii="Tahoma" w:hAnsi="Tahoma" w:cstheme="minorHAnsi"/>
          <w:sz w:val="28"/>
          <w:szCs w:val="28"/>
          <w:lang w:val="fr-FR"/>
        </w:rPr>
        <w:t xml:space="preserve"> in </w:t>
      </w:r>
      <w:proofErr w:type="spellStart"/>
      <w:r>
        <w:rPr>
          <w:rFonts w:ascii="Tahoma" w:hAnsi="Tahoma" w:cstheme="minorHAnsi"/>
          <w:sz w:val="28"/>
          <w:szCs w:val="28"/>
          <w:lang w:val="fr-FR"/>
        </w:rPr>
        <w:t>Greece</w:t>
      </w:r>
      <w:proofErr w:type="spellEnd"/>
      <w:r>
        <w:rPr>
          <w:rFonts w:ascii="Tahoma" w:hAnsi="Tahoma" w:cstheme="minorHAnsi"/>
          <w:sz w:val="28"/>
          <w:szCs w:val="28"/>
          <w:lang w:val="fr-FR"/>
        </w:rPr>
        <w:t xml:space="preserve">, dans le but de renforcer les objectifs du partenariat stratégique entre le Royaume-Uni et la Grèce en matière d'éducation (SPE). En outre, en 2024-2025, une série d'événements ont été organisés dans le cadre du SPE entre le Royaume-Uni et la Grèce. Neuf masters conjoints/doubles diplômes entre des établissements d'enseignement supérieur britanniques et grecs ont été approuvés et entièrement financés et seront lancés en 2026-2027. Un large éventail de cours de courte durée et de projets de recherche conjoints entre des établissements d'enseignement supérieur britanniques et grecs ont également été mis en œuvre en 2024-2025. Dans le contexte des récentes réformes législatives de la Grèce dans le domaine de l'enseignement supérieur, trois universités britanniques - l'université de York, l'université de </w:t>
      </w:r>
      <w:proofErr w:type="spellStart"/>
      <w:r>
        <w:rPr>
          <w:rFonts w:ascii="Tahoma" w:hAnsi="Tahoma" w:cstheme="minorHAnsi"/>
          <w:sz w:val="28"/>
          <w:szCs w:val="28"/>
          <w:lang w:val="fr-FR"/>
        </w:rPr>
        <w:t>Keele</w:t>
      </w:r>
      <w:proofErr w:type="spellEnd"/>
      <w:r>
        <w:rPr>
          <w:rFonts w:ascii="Tahoma" w:hAnsi="Tahoma" w:cstheme="minorHAnsi"/>
          <w:sz w:val="28"/>
          <w:szCs w:val="28"/>
          <w:lang w:val="fr-FR"/>
        </w:rPr>
        <w:t xml:space="preserve"> et The Open </w:t>
      </w:r>
      <w:proofErr w:type="spellStart"/>
      <w:r>
        <w:rPr>
          <w:rFonts w:ascii="Tahoma" w:hAnsi="Tahoma" w:cstheme="minorHAnsi"/>
          <w:sz w:val="28"/>
          <w:szCs w:val="28"/>
          <w:lang w:val="fr-FR"/>
        </w:rPr>
        <w:t>University</w:t>
      </w:r>
      <w:proofErr w:type="spellEnd"/>
      <w:r>
        <w:rPr>
          <w:rFonts w:ascii="Tahoma" w:hAnsi="Tahoma" w:cstheme="minorHAnsi"/>
          <w:sz w:val="28"/>
          <w:szCs w:val="28"/>
          <w:lang w:val="fr-FR"/>
        </w:rPr>
        <w:t xml:space="preserve"> - ont été officiellement autorisées à ouvrir des campus en Grèce. </w:t>
      </w:r>
    </w:p>
    <w:p w:rsidR="00E00CC7" w:rsidRPr="00E56A3D" w:rsidRDefault="00E00CC7">
      <w:pPr>
        <w:suppressAutoHyphens w:val="0"/>
        <w:jc w:val="both"/>
        <w:rPr>
          <w:rFonts w:cstheme="minorHAnsi"/>
          <w:b/>
          <w:lang w:val="fr-FR"/>
        </w:rPr>
      </w:pPr>
    </w:p>
    <w:p w:rsidR="00E00CC7" w:rsidRDefault="00DC2821">
      <w:pPr>
        <w:pStyle w:val="BodyText"/>
        <w:suppressAutoHyphens w:val="0"/>
        <w:jc w:val="both"/>
        <w:rPr>
          <w:rFonts w:ascii="Tahoma" w:hAnsi="Tahoma" w:cstheme="minorHAnsi"/>
          <w:b/>
          <w:sz w:val="28"/>
          <w:szCs w:val="28"/>
          <w:lang w:val="fr-FR"/>
        </w:rPr>
      </w:pPr>
      <w:r>
        <w:rPr>
          <w:rFonts w:ascii="Tahoma" w:hAnsi="Tahoma" w:cstheme="minorHAnsi"/>
          <w:b/>
          <w:sz w:val="28"/>
          <w:szCs w:val="28"/>
          <w:lang w:val="fr-FR"/>
        </w:rPr>
        <w:t>Culture</w:t>
      </w:r>
    </w:p>
    <w:p w:rsidR="00E00CC7" w:rsidRDefault="00DC2821">
      <w:pPr>
        <w:pStyle w:val="BodyText"/>
        <w:suppressAutoHyphens w:val="0"/>
        <w:spacing w:after="160" w:line="259" w:lineRule="auto"/>
        <w:jc w:val="both"/>
        <w:rPr>
          <w:rFonts w:ascii="Tahoma" w:hAnsi="Tahoma" w:cstheme="minorHAnsi"/>
          <w:sz w:val="28"/>
          <w:szCs w:val="28"/>
          <w:lang w:val="fr-FR"/>
        </w:rPr>
      </w:pPr>
      <w:r>
        <w:rPr>
          <w:rFonts w:ascii="Tahoma" w:hAnsi="Tahoma" w:cstheme="minorHAnsi"/>
          <w:sz w:val="28"/>
          <w:szCs w:val="28"/>
          <w:lang w:val="fr-FR"/>
        </w:rPr>
        <w:t>Dans le domaine de la culture, la Direction des musées archéologiques, des expositions et des programmes éducatifs du ministère grec de la Culture entretient une coopération active avec le Réseau des organisations muséales européennes (NEMO). La Direction de la conservation des monuments anciens et modernes reste favorable à l'établissement de nouveaux partenariats avec des organismes de conservation équivalents. Dans les secteurs des arts du spectacle, du cinéma et des médias audiovisuels, la coopération entre la Grèce et le Royaume-Uni est considérée comme particulièrement importante. Les deux parties ont exprimé leur intérêt commun à renforcer leur collaboration dans le cadre de la Convention révisée du Conseil de l'Europe sur la coproduction cinématographique, à laquelle les deux pays sont parties.</w:t>
      </w:r>
    </w:p>
    <w:p w:rsidR="00E00CC7" w:rsidRPr="00E56A3D" w:rsidRDefault="00E00CC7">
      <w:pPr>
        <w:suppressAutoHyphens w:val="0"/>
        <w:jc w:val="both"/>
        <w:rPr>
          <w:rFonts w:cstheme="minorHAnsi"/>
          <w:b/>
          <w:lang w:val="fr-FR"/>
        </w:rPr>
      </w:pPr>
    </w:p>
    <w:p w:rsidR="00E00CC7" w:rsidRDefault="00DC2821">
      <w:pPr>
        <w:pStyle w:val="BodyText"/>
        <w:suppressAutoHyphens w:val="0"/>
        <w:jc w:val="both"/>
        <w:rPr>
          <w:rFonts w:ascii="Tahoma" w:hAnsi="Tahoma" w:cstheme="minorHAnsi"/>
          <w:b/>
          <w:sz w:val="28"/>
          <w:szCs w:val="28"/>
          <w:lang w:val="fr-FR"/>
        </w:rPr>
      </w:pPr>
      <w:r>
        <w:rPr>
          <w:rFonts w:ascii="Tahoma" w:hAnsi="Tahoma" w:cstheme="minorHAnsi"/>
          <w:b/>
          <w:sz w:val="28"/>
          <w:szCs w:val="28"/>
          <w:lang w:val="fr-FR"/>
        </w:rPr>
        <w:t>Science et innovation</w:t>
      </w:r>
    </w:p>
    <w:p w:rsidR="00E00CC7" w:rsidRDefault="00DC2821">
      <w:pPr>
        <w:pStyle w:val="BodyText"/>
        <w:suppressAutoHyphens w:val="0"/>
        <w:spacing w:after="160" w:line="259" w:lineRule="auto"/>
        <w:jc w:val="both"/>
        <w:rPr>
          <w:rFonts w:ascii="Tahoma" w:hAnsi="Tahoma" w:cstheme="minorHAnsi"/>
          <w:sz w:val="28"/>
          <w:szCs w:val="28"/>
          <w:lang w:val="fr-FR"/>
        </w:rPr>
      </w:pPr>
      <w:r>
        <w:rPr>
          <w:rFonts w:ascii="Tahoma" w:hAnsi="Tahoma" w:cstheme="minorHAnsi"/>
          <w:sz w:val="28"/>
          <w:szCs w:val="28"/>
          <w:lang w:val="fr-FR"/>
        </w:rPr>
        <w:t xml:space="preserve">En ce qui concerne les domaines de la coopération scientifique et technologique appliquée, et sur la base de l'accord bilatéral existant sur la coopération scientifique et technologique appliquée, signé à Athènes le 8 février 1985, et des quinze (15) protocoles entre le </w:t>
      </w:r>
      <w:r>
        <w:rPr>
          <w:rFonts w:ascii="Tahoma" w:hAnsi="Tahoma" w:cstheme="minorHAnsi"/>
          <w:sz w:val="28"/>
          <w:szCs w:val="28"/>
          <w:lang w:val="fr-FR"/>
        </w:rPr>
        <w:lastRenderedPageBreak/>
        <w:t xml:space="preserve">Secrétariat général pour la recherche et l'innovation du ministère grec du Développement et le British Council, outre les projets de recherche bilatéraux, la </w:t>
      </w:r>
      <w:proofErr w:type="spellStart"/>
      <w:r>
        <w:rPr>
          <w:rFonts w:ascii="Tahoma" w:hAnsi="Tahoma" w:cstheme="minorHAnsi"/>
          <w:sz w:val="28"/>
          <w:szCs w:val="28"/>
          <w:lang w:val="fr-FR"/>
        </w:rPr>
        <w:t>coorganisation</w:t>
      </w:r>
      <w:proofErr w:type="spellEnd"/>
      <w:r>
        <w:rPr>
          <w:rFonts w:ascii="Tahoma" w:hAnsi="Tahoma" w:cstheme="minorHAnsi"/>
          <w:sz w:val="28"/>
          <w:szCs w:val="28"/>
          <w:lang w:val="fr-FR"/>
        </w:rPr>
        <w:t xml:space="preserve"> de séminaires et d'ateliers dans des domaines d'intérêt commun (tels que l'évaluation de la recherche, la communication scientifique, la bioéthique), les ministres se sont également concentrés sur les questions d'enseignement supérieur et les nouvelles possibilités de coopération entre les deux pays. Plus précisément, parallèlement à la coopération de longue date entre les groupes de recherche grecs et britanniques, de nouvelles opportunités se présentent dans le cadre des différentes actions du programme d'élargissement (Teaming, </w:t>
      </w:r>
      <w:proofErr w:type="spellStart"/>
      <w:r>
        <w:rPr>
          <w:rFonts w:ascii="Tahoma" w:hAnsi="Tahoma" w:cstheme="minorHAnsi"/>
          <w:sz w:val="28"/>
          <w:szCs w:val="28"/>
          <w:lang w:val="fr-FR"/>
        </w:rPr>
        <w:t>Twinning</w:t>
      </w:r>
      <w:proofErr w:type="spellEnd"/>
      <w:r>
        <w:rPr>
          <w:rFonts w:ascii="Tahoma" w:hAnsi="Tahoma" w:cstheme="minorHAnsi"/>
          <w:sz w:val="28"/>
          <w:szCs w:val="28"/>
          <w:lang w:val="fr-FR"/>
        </w:rPr>
        <w:t>, ERA Chairs, etc.), auxquelles les organismes de recherche et universitaires grecs peuvent désormais participer à part entière.</w:t>
      </w:r>
    </w:p>
    <w:p w:rsidR="00E00CC7" w:rsidRDefault="00E00CC7">
      <w:pPr>
        <w:suppressAutoHyphens w:val="0"/>
        <w:jc w:val="both"/>
        <w:rPr>
          <w:rFonts w:ascii="Tahoma" w:hAnsi="Tahoma" w:cstheme="minorHAnsi"/>
          <w:sz w:val="28"/>
          <w:szCs w:val="28"/>
          <w:lang w:val="fr-FR"/>
        </w:rPr>
      </w:pPr>
    </w:p>
    <w:p w:rsidR="00E00CC7" w:rsidRDefault="00DC2821">
      <w:pPr>
        <w:pStyle w:val="BodyText"/>
        <w:suppressAutoHyphens w:val="0"/>
        <w:jc w:val="both"/>
        <w:rPr>
          <w:rFonts w:ascii="Tahoma" w:hAnsi="Tahoma" w:cstheme="minorHAnsi"/>
          <w:b/>
          <w:sz w:val="28"/>
          <w:szCs w:val="28"/>
          <w:lang w:val="fr-FR"/>
        </w:rPr>
      </w:pPr>
      <w:r>
        <w:rPr>
          <w:rFonts w:ascii="Tahoma" w:hAnsi="Tahoma" w:cstheme="minorHAnsi"/>
          <w:b/>
          <w:sz w:val="28"/>
          <w:szCs w:val="28"/>
          <w:lang w:val="fr-FR"/>
        </w:rPr>
        <w:t>Tourisme</w:t>
      </w:r>
    </w:p>
    <w:p w:rsidR="00E00CC7" w:rsidRDefault="00DC2821">
      <w:pPr>
        <w:pStyle w:val="BodyText"/>
        <w:suppressAutoHyphens w:val="0"/>
        <w:spacing w:after="160" w:line="259" w:lineRule="auto"/>
        <w:jc w:val="both"/>
        <w:rPr>
          <w:rFonts w:ascii="Tahoma" w:hAnsi="Tahoma" w:cstheme="minorHAnsi"/>
          <w:sz w:val="28"/>
          <w:szCs w:val="28"/>
          <w:lang w:val="fr-FR"/>
        </w:rPr>
      </w:pPr>
      <w:r>
        <w:rPr>
          <w:rFonts w:ascii="Tahoma" w:hAnsi="Tahoma" w:cstheme="minorHAnsi"/>
          <w:sz w:val="28"/>
          <w:szCs w:val="28"/>
          <w:lang w:val="fr-FR"/>
        </w:rPr>
        <w:t xml:space="preserve">Les ministres ont réaffirmé l'importance commune du tourisme pour la puissance douce (soft power), les économies et les relations entre les peuples des deux pays. Ils se sont déclarés satisfaits du nombre exceptionnel de visiteurs enregistré ces dernières années, la Grèce restant une destination phare pour les visiteurs britanniques. Les ministres ont souligné l'importance de la durabilité du tourisme, en mettant l'accent sur la prospérité et le développement des communautés locales. Ils ont attendu avec impatience la signature du protocole d'accord en cours de négociation concernant la coopération dans le domaine du tourisme, qui fait explicitement référence aux dimensions sociales du développement touristique, afin de renforcer encore la coopération, en particulier en ce qui concerne l'amélioration de la résilience de l'écosystème touristique et la lutte contre les effets du changement climatique sur le tourisme. </w:t>
      </w:r>
    </w:p>
    <w:p w:rsidR="00E00CC7" w:rsidRDefault="00E00CC7">
      <w:pPr>
        <w:suppressAutoHyphens w:val="0"/>
        <w:jc w:val="both"/>
        <w:rPr>
          <w:rFonts w:ascii="Tahoma" w:hAnsi="Tahoma" w:cstheme="minorHAnsi"/>
          <w:b/>
          <w:sz w:val="28"/>
          <w:szCs w:val="28"/>
          <w:lang w:val="fr-FR"/>
        </w:rPr>
      </w:pPr>
    </w:p>
    <w:p w:rsidR="00E00CC7" w:rsidRDefault="00DC2821">
      <w:pPr>
        <w:pStyle w:val="BodyText"/>
        <w:suppressAutoHyphens w:val="0"/>
        <w:jc w:val="both"/>
        <w:rPr>
          <w:rFonts w:ascii="Tahoma" w:hAnsi="Tahoma" w:cstheme="minorHAnsi"/>
          <w:b/>
          <w:sz w:val="28"/>
          <w:szCs w:val="28"/>
          <w:lang w:val="fr-FR"/>
        </w:rPr>
      </w:pPr>
      <w:r>
        <w:rPr>
          <w:rFonts w:ascii="Tahoma" w:hAnsi="Tahoma" w:cstheme="minorHAnsi"/>
          <w:b/>
          <w:bCs/>
          <w:sz w:val="28"/>
          <w:szCs w:val="28"/>
          <w:lang w:val="fr-FR"/>
        </w:rPr>
        <w:t>Climat et sécurité énergétique</w:t>
      </w:r>
    </w:p>
    <w:p w:rsidR="00E00CC7" w:rsidRDefault="00DC2821">
      <w:pPr>
        <w:pStyle w:val="BodyText"/>
        <w:suppressAutoHyphens w:val="0"/>
        <w:spacing w:after="160" w:line="259" w:lineRule="auto"/>
        <w:jc w:val="both"/>
        <w:rPr>
          <w:rFonts w:ascii="Tahoma" w:hAnsi="Tahoma" w:cstheme="minorHAnsi"/>
          <w:bCs/>
          <w:sz w:val="28"/>
          <w:szCs w:val="28"/>
          <w:lang w:val="fr-FR"/>
        </w:rPr>
      </w:pPr>
      <w:r>
        <w:rPr>
          <w:rFonts w:ascii="Tahoma" w:hAnsi="Tahoma" w:cstheme="minorHAnsi"/>
          <w:bCs/>
          <w:sz w:val="28"/>
          <w:szCs w:val="28"/>
          <w:lang w:val="fr-FR"/>
        </w:rPr>
        <w:t xml:space="preserve">Réaffirmant l'intérêt particulier des deux parties pour le changement climatique et le défi que représente une approche holistique de la gestion de ses effets, les deux ministres ont souligné l'importance de la coopération en matière de formation et d'interopérabilité, tout </w:t>
      </w:r>
      <w:r>
        <w:rPr>
          <w:rFonts w:ascii="Tahoma" w:hAnsi="Tahoma" w:cstheme="minorHAnsi"/>
          <w:bCs/>
          <w:sz w:val="28"/>
          <w:szCs w:val="28"/>
          <w:lang w:val="fr-FR"/>
        </w:rPr>
        <w:lastRenderedPageBreak/>
        <w:t xml:space="preserve">en réaffirmant l'engagement des deux parties à explorer de nouvelles possibilités de coopération, en travaillant à la rédaction d'un protocole d'accord sur la coopération dans le domaine de la gestion des catastrophes et de la lutte contre les incendies, ainsi qu'à l'élaboration d'une feuille de route connexe sur la gestion des crises liées aux incendies de forêt et le partage des connaissances et des bonnes pratiques, la mise en place/le développement d'un cadre commun pour les programmes de formation, etc. </w:t>
      </w:r>
    </w:p>
    <w:p w:rsidR="00E00CC7" w:rsidRDefault="00DC2821">
      <w:pPr>
        <w:pStyle w:val="BodyText"/>
        <w:suppressAutoHyphens w:val="0"/>
        <w:spacing w:after="160" w:line="259" w:lineRule="auto"/>
        <w:jc w:val="both"/>
        <w:rPr>
          <w:rFonts w:ascii="Tahoma" w:hAnsi="Tahoma" w:cstheme="minorHAnsi"/>
          <w:bCs/>
          <w:sz w:val="28"/>
          <w:szCs w:val="28"/>
          <w:lang w:val="fr-FR"/>
        </w:rPr>
      </w:pPr>
      <w:r>
        <w:rPr>
          <w:rFonts w:ascii="Tahoma" w:hAnsi="Tahoma" w:cstheme="minorHAnsi"/>
          <w:bCs/>
          <w:sz w:val="28"/>
          <w:szCs w:val="28"/>
          <w:lang w:val="fr-FR"/>
        </w:rPr>
        <w:t>Les ministres ont souligné la valeur du dialogue en cours sur la sécurité énergétique et ont insisté sur le potentiel de progrès supplémentaires dans les domaines suivants</w:t>
      </w:r>
    </w:p>
    <w:p w:rsidR="00E00CC7" w:rsidRDefault="00DC2821">
      <w:pPr>
        <w:pStyle w:val="BodyText"/>
        <w:suppressAutoHyphens w:val="0"/>
        <w:spacing w:after="160" w:line="259" w:lineRule="auto"/>
        <w:jc w:val="both"/>
        <w:rPr>
          <w:rFonts w:ascii="Tahoma" w:hAnsi="Tahoma" w:cstheme="minorHAnsi"/>
          <w:bCs/>
          <w:sz w:val="28"/>
          <w:szCs w:val="28"/>
          <w:lang w:val="fr-FR"/>
        </w:rPr>
      </w:pPr>
      <w:r>
        <w:rPr>
          <w:rFonts w:ascii="Tahoma" w:hAnsi="Tahoma" w:cstheme="minorHAnsi"/>
          <w:bCs/>
          <w:sz w:val="28"/>
          <w:szCs w:val="28"/>
          <w:lang w:val="fr-FR"/>
        </w:rPr>
        <w:t>a) production d'énergie éolienne en mer</w:t>
      </w:r>
    </w:p>
    <w:p w:rsidR="00E00CC7" w:rsidRDefault="00DC2821">
      <w:pPr>
        <w:pStyle w:val="BodyText"/>
        <w:suppressAutoHyphens w:val="0"/>
        <w:spacing w:after="160" w:line="259" w:lineRule="auto"/>
        <w:jc w:val="both"/>
        <w:rPr>
          <w:rFonts w:ascii="Tahoma" w:hAnsi="Tahoma" w:cstheme="minorHAnsi"/>
          <w:bCs/>
          <w:sz w:val="28"/>
          <w:szCs w:val="28"/>
          <w:lang w:val="fr-FR"/>
        </w:rPr>
      </w:pPr>
      <w:r>
        <w:rPr>
          <w:rFonts w:ascii="Tahoma" w:hAnsi="Tahoma" w:cstheme="minorHAnsi"/>
          <w:bCs/>
          <w:sz w:val="28"/>
          <w:szCs w:val="28"/>
          <w:lang w:val="fr-FR"/>
        </w:rPr>
        <w:t>b) stockage d'énergie et batteries</w:t>
      </w:r>
    </w:p>
    <w:p w:rsidR="00E00CC7" w:rsidRDefault="00DC2821">
      <w:pPr>
        <w:pStyle w:val="BodyText"/>
        <w:suppressAutoHyphens w:val="0"/>
        <w:spacing w:after="160" w:line="259" w:lineRule="auto"/>
        <w:jc w:val="both"/>
        <w:rPr>
          <w:rFonts w:ascii="Tahoma" w:hAnsi="Tahoma" w:cstheme="minorHAnsi"/>
          <w:bCs/>
          <w:sz w:val="28"/>
          <w:szCs w:val="28"/>
          <w:lang w:val="fr-FR"/>
        </w:rPr>
      </w:pPr>
      <w:r>
        <w:rPr>
          <w:rFonts w:ascii="Tahoma" w:hAnsi="Tahoma" w:cstheme="minorHAnsi"/>
          <w:bCs/>
          <w:sz w:val="28"/>
          <w:szCs w:val="28"/>
          <w:lang w:val="fr-FR"/>
        </w:rPr>
        <w:t>c) capture et stockage du carbone (CSC).</w:t>
      </w:r>
    </w:p>
    <w:p w:rsidR="00E00CC7" w:rsidRDefault="00E00CC7">
      <w:pPr>
        <w:suppressAutoHyphens w:val="0"/>
        <w:jc w:val="both"/>
        <w:rPr>
          <w:rFonts w:ascii="Tahoma" w:hAnsi="Tahoma" w:cstheme="minorHAnsi"/>
          <w:bCs/>
          <w:sz w:val="28"/>
          <w:szCs w:val="28"/>
          <w:lang w:val="fr-FR"/>
        </w:rPr>
      </w:pPr>
    </w:p>
    <w:p w:rsidR="00E00CC7" w:rsidRDefault="00DC2821">
      <w:pPr>
        <w:pStyle w:val="BodyText"/>
        <w:jc w:val="both"/>
        <w:rPr>
          <w:rFonts w:ascii="Tahoma" w:hAnsi="Tahoma" w:cstheme="minorHAnsi"/>
          <w:b/>
          <w:sz w:val="28"/>
          <w:szCs w:val="28"/>
          <w:lang w:val="fr-FR"/>
        </w:rPr>
      </w:pPr>
      <w:r>
        <w:rPr>
          <w:rFonts w:ascii="Tahoma" w:hAnsi="Tahoma" w:cstheme="minorHAnsi"/>
          <w:b/>
          <w:sz w:val="28"/>
          <w:szCs w:val="28"/>
          <w:lang w:val="fr-FR"/>
        </w:rPr>
        <w:t>Commerce et investissement</w:t>
      </w:r>
    </w:p>
    <w:p w:rsidR="00E00CC7" w:rsidRDefault="00DC2821">
      <w:pPr>
        <w:pStyle w:val="BodyText"/>
        <w:spacing w:after="160" w:line="259" w:lineRule="auto"/>
        <w:jc w:val="both"/>
        <w:rPr>
          <w:rFonts w:ascii="Tahoma" w:hAnsi="Tahoma" w:cstheme="minorHAnsi"/>
          <w:sz w:val="28"/>
          <w:szCs w:val="28"/>
          <w:lang w:val="fr-FR"/>
        </w:rPr>
      </w:pPr>
      <w:r>
        <w:rPr>
          <w:rFonts w:ascii="Tahoma" w:hAnsi="Tahoma" w:cstheme="minorHAnsi"/>
          <w:sz w:val="28"/>
          <w:szCs w:val="28"/>
          <w:lang w:val="fr-FR"/>
        </w:rPr>
        <w:t xml:space="preserve">Les ministres se sont félicités de l'augmentation des échanges bilatéraux entre la Grèce et le Royaume-Uni, qui ont continué à se développer dans le domaine des biens et des services. Ils ont réitéré leur engagement à poursuivre leurs efforts pour renforcer encore la coopération bilatérale dans le domaine du commerce et des investissements, en particulier dans les secteurs de l'industrie agroalimentaire, de l'innovation et des technologies numériques émergentes (y compris l'IA), des énergies propres (énergies renouvelables, y compris la production d'énergie éolienne  en mer), des infrastructures et des transports, du transport maritime écologique, des technologies de la santé, ainsi que de l'immobilier, des sciences de la vie, de la défense et de l'éducation. Dans cette optique, la Grèce et le Royaume-Uni sont disposés à explorer les possibilités d'actions ciblées afin de promouvoir davantage les opportunités commerciales et d'investissement dans des domaines prioritaires spécifiques. Ils s'engagent également à sensibiliser aux perspectives d'une coopération ciblée entre les entreprises grecques éligibles et le UK Export Finance (UKEF), ainsi qu'à examiner les possibilités de coopération entre ce dernier et Export </w:t>
      </w:r>
      <w:proofErr w:type="spellStart"/>
      <w:r>
        <w:rPr>
          <w:rFonts w:ascii="Tahoma" w:hAnsi="Tahoma" w:cstheme="minorHAnsi"/>
          <w:sz w:val="28"/>
          <w:szCs w:val="28"/>
          <w:lang w:val="fr-FR"/>
        </w:rPr>
        <w:t>Credit</w:t>
      </w:r>
      <w:proofErr w:type="spellEnd"/>
      <w:r>
        <w:rPr>
          <w:rFonts w:ascii="Tahoma" w:hAnsi="Tahoma" w:cstheme="minorHAnsi"/>
          <w:sz w:val="28"/>
          <w:szCs w:val="28"/>
          <w:lang w:val="fr-FR"/>
        </w:rPr>
        <w:t xml:space="preserve"> </w:t>
      </w:r>
      <w:proofErr w:type="spellStart"/>
      <w:r>
        <w:rPr>
          <w:rFonts w:ascii="Tahoma" w:hAnsi="Tahoma" w:cstheme="minorHAnsi"/>
          <w:sz w:val="28"/>
          <w:szCs w:val="28"/>
          <w:lang w:val="fr-FR"/>
        </w:rPr>
        <w:t>Greece</w:t>
      </w:r>
      <w:proofErr w:type="spellEnd"/>
      <w:r>
        <w:rPr>
          <w:rFonts w:ascii="Tahoma" w:hAnsi="Tahoma" w:cstheme="minorHAnsi"/>
          <w:sz w:val="28"/>
          <w:szCs w:val="28"/>
          <w:lang w:val="fr-FR"/>
        </w:rPr>
        <w:t xml:space="preserve"> </w:t>
      </w:r>
      <w:r>
        <w:rPr>
          <w:rFonts w:ascii="Tahoma" w:hAnsi="Tahoma" w:cstheme="minorHAnsi"/>
          <w:sz w:val="28"/>
          <w:szCs w:val="28"/>
          <w:lang w:val="fr-FR"/>
        </w:rPr>
        <w:lastRenderedPageBreak/>
        <w:t>SA (ECG). Les ministres ont également pris note du potentiel d'actions d'investissement conjointes dans les Balkans occidentaux et la région MENA et sont convenus d'œuvrer à sa réalisation. Cette coopération est sans préjudice des obligations de la Grèce en vertu du droit de l'UE et conforme aux engagements internationaux du Royaume-Uni et de la Grèce.</w:t>
      </w:r>
    </w:p>
    <w:p w:rsidR="00E00CC7" w:rsidRPr="00E56A3D" w:rsidRDefault="00E00CC7">
      <w:pPr>
        <w:jc w:val="both"/>
        <w:rPr>
          <w:rFonts w:cstheme="minorHAnsi"/>
          <w:lang w:val="fr-FR"/>
        </w:rPr>
      </w:pPr>
    </w:p>
    <w:p w:rsidR="00E00CC7" w:rsidRDefault="00DC2821">
      <w:pPr>
        <w:pStyle w:val="BodyText"/>
        <w:suppressAutoHyphens w:val="0"/>
        <w:jc w:val="both"/>
        <w:rPr>
          <w:rFonts w:ascii="Tahoma" w:hAnsi="Tahoma"/>
          <w:sz w:val="28"/>
          <w:szCs w:val="28"/>
          <w:lang w:val="fr-FR"/>
        </w:rPr>
      </w:pPr>
      <w:r>
        <w:rPr>
          <w:rFonts w:ascii="Tahoma" w:hAnsi="Tahoma" w:cstheme="minorHAnsi"/>
          <w:b/>
          <w:sz w:val="28"/>
          <w:szCs w:val="28"/>
          <w:lang w:val="fr-FR"/>
        </w:rPr>
        <w:t>Numérisation</w:t>
      </w:r>
    </w:p>
    <w:p w:rsidR="00E00CC7" w:rsidRDefault="00DC2821">
      <w:pPr>
        <w:pStyle w:val="BodyText"/>
        <w:suppressAutoHyphens w:val="0"/>
        <w:spacing w:after="160" w:line="259" w:lineRule="auto"/>
        <w:jc w:val="both"/>
        <w:rPr>
          <w:rFonts w:ascii="Tahoma" w:hAnsi="Tahoma"/>
          <w:sz w:val="28"/>
          <w:szCs w:val="28"/>
          <w:lang w:val="fr-FR"/>
        </w:rPr>
      </w:pPr>
      <w:r>
        <w:rPr>
          <w:rFonts w:ascii="Tahoma" w:hAnsi="Tahoma" w:cstheme="minorHAnsi"/>
          <w:sz w:val="28"/>
          <w:szCs w:val="28"/>
          <w:lang w:val="fr-FR"/>
        </w:rPr>
        <w:t>Les ministres ont exprimé leur intérêt pour l'élargissement et le renforcement de la coopération bilatérale en matière de numérisation, en particulier dans les domaines de la cybersécurité, des services de santé numériques, de la gouvernance numérique (en mettant l'accent sur l'inclusion numérique), de l'espace, de l'intelligence artificielle et de la gouvernance des données.</w:t>
      </w:r>
    </w:p>
    <w:p w:rsidR="00E00CC7" w:rsidRDefault="00E00CC7">
      <w:pPr>
        <w:suppressAutoHyphens w:val="0"/>
        <w:jc w:val="both"/>
        <w:rPr>
          <w:rFonts w:ascii="Tahoma" w:hAnsi="Tahoma" w:cstheme="minorHAnsi"/>
          <w:bCs/>
          <w:sz w:val="28"/>
          <w:szCs w:val="28"/>
          <w:lang w:val="fr-FR"/>
        </w:rPr>
      </w:pPr>
    </w:p>
    <w:p w:rsidR="00E00CC7" w:rsidRDefault="00DC2821">
      <w:pPr>
        <w:pStyle w:val="BodyText"/>
        <w:suppressAutoHyphens w:val="0"/>
        <w:jc w:val="both"/>
        <w:rPr>
          <w:rFonts w:ascii="Tahoma" w:hAnsi="Tahoma" w:cstheme="minorHAnsi"/>
          <w:b/>
          <w:bCs/>
          <w:sz w:val="28"/>
          <w:szCs w:val="28"/>
          <w:lang w:val="fr-FR"/>
        </w:rPr>
      </w:pPr>
      <w:r>
        <w:rPr>
          <w:rFonts w:ascii="Tahoma" w:hAnsi="Tahoma" w:cstheme="minorHAnsi"/>
          <w:b/>
          <w:bCs/>
          <w:sz w:val="28"/>
          <w:szCs w:val="28"/>
          <w:lang w:val="fr-FR"/>
        </w:rPr>
        <w:t>Finances</w:t>
      </w:r>
    </w:p>
    <w:p w:rsidR="00E00CC7" w:rsidRDefault="00DC2821">
      <w:pPr>
        <w:pStyle w:val="BodyText"/>
        <w:suppressAutoHyphens w:val="0"/>
        <w:spacing w:after="160" w:line="259" w:lineRule="auto"/>
        <w:jc w:val="both"/>
        <w:rPr>
          <w:rFonts w:ascii="Tahoma" w:hAnsi="Tahoma" w:cstheme="minorHAnsi"/>
          <w:bCs/>
          <w:sz w:val="28"/>
          <w:szCs w:val="28"/>
          <w:lang w:val="fr-FR"/>
        </w:rPr>
      </w:pPr>
      <w:r>
        <w:rPr>
          <w:rFonts w:ascii="Tahoma" w:hAnsi="Tahoma" w:cstheme="minorHAnsi"/>
          <w:bCs/>
          <w:sz w:val="28"/>
          <w:szCs w:val="28"/>
          <w:lang w:val="fr-FR"/>
        </w:rPr>
        <w:t>Il est proposé d'établir une coopération entre le Secrétariat général de la politique fiscale du ministère grec de l'Économie et des Finances et le Trésor britannique afin d'échanger des compétences dans des domaines clés, notamment la préparation et l'exécution du budget, l'examen des dépenses, la budgétisation verte, la budgétisation axée sur les performances et les résultats, le suivi des indicateurs de performance connexes et la gestion des comptes du Trésor, favorisant ainsi le dialogue sur la politique fiscale et la réponse aux nouveaux défis.</w:t>
      </w:r>
    </w:p>
    <w:p w:rsidR="00E56A3D" w:rsidRDefault="00E56A3D">
      <w:pPr>
        <w:suppressAutoHyphens w:val="0"/>
        <w:jc w:val="both"/>
        <w:rPr>
          <w:rFonts w:ascii="Tahoma" w:hAnsi="Tahoma" w:cstheme="minorHAnsi"/>
          <w:bCs/>
          <w:sz w:val="28"/>
          <w:szCs w:val="28"/>
          <w:lang w:val="fr-FR"/>
        </w:rPr>
      </w:pPr>
    </w:p>
    <w:p w:rsidR="00E00CC7" w:rsidRDefault="00DC2821">
      <w:pPr>
        <w:pStyle w:val="BodyText"/>
        <w:suppressAutoHyphens w:val="0"/>
        <w:jc w:val="both"/>
        <w:rPr>
          <w:rFonts w:ascii="Tahoma" w:hAnsi="Tahoma"/>
          <w:sz w:val="28"/>
          <w:szCs w:val="28"/>
          <w:lang w:val="fr-FR"/>
        </w:rPr>
      </w:pPr>
      <w:r>
        <w:rPr>
          <w:rFonts w:ascii="Tahoma" w:hAnsi="Tahoma" w:cstheme="minorHAnsi"/>
          <w:b/>
          <w:sz w:val="28"/>
          <w:szCs w:val="28"/>
          <w:lang w:val="fr-FR"/>
        </w:rPr>
        <w:t>Santé</w:t>
      </w:r>
    </w:p>
    <w:p w:rsidR="00E00CC7" w:rsidRDefault="00DC2821">
      <w:pPr>
        <w:pStyle w:val="BodyText"/>
        <w:suppressAutoHyphens w:val="0"/>
        <w:spacing w:after="160" w:line="259" w:lineRule="auto"/>
        <w:jc w:val="both"/>
        <w:rPr>
          <w:rFonts w:ascii="Tahoma" w:hAnsi="Tahoma" w:cstheme="minorHAnsi"/>
          <w:sz w:val="28"/>
          <w:szCs w:val="28"/>
          <w:lang w:val="fr-FR"/>
        </w:rPr>
      </w:pPr>
      <w:r>
        <w:rPr>
          <w:rFonts w:ascii="Tahoma" w:hAnsi="Tahoma" w:cstheme="minorHAnsi"/>
          <w:sz w:val="28"/>
          <w:szCs w:val="28"/>
          <w:lang w:val="fr-FR"/>
        </w:rPr>
        <w:t xml:space="preserve">Il est proposé que la Grèce et le Royaume-Uni élargissent leur coopération dans le secteur de la santé, en particulier dans les domaines suivants : 1) résistance aux antimicrobiens (RAM), 2) préparation et réponse aux maladies infectieuses - exemple d'un projet européen CSN, 3) réorganisation fonctionnelle de l'Organisation nationale de santé publique (EODY) - un exemple de coopération au niveau des réformes, 4) la promotion de la santé et du bien-être </w:t>
      </w:r>
      <w:r>
        <w:rPr>
          <w:rFonts w:ascii="Tahoma" w:hAnsi="Tahoma" w:cstheme="minorHAnsi"/>
          <w:sz w:val="28"/>
          <w:szCs w:val="28"/>
          <w:lang w:val="fr-FR"/>
        </w:rPr>
        <w:lastRenderedPageBreak/>
        <w:t xml:space="preserve">tout au long de la vie. Les ministres ont évoqué la possibilité de conclure des contrats/accords bilatéraux avec certains hôpitaux britanniques, qui pourraient accepter des patients pédiatriques grecs pour des traitements spéciaux. </w:t>
      </w:r>
    </w:p>
    <w:p w:rsidR="00E00CC7" w:rsidRDefault="00E00CC7">
      <w:pPr>
        <w:suppressAutoHyphens w:val="0"/>
        <w:jc w:val="both"/>
        <w:rPr>
          <w:rFonts w:ascii="Tahoma" w:hAnsi="Tahoma" w:cstheme="minorHAnsi"/>
          <w:sz w:val="28"/>
          <w:szCs w:val="28"/>
          <w:lang w:val="fr-FR"/>
        </w:rPr>
      </w:pPr>
    </w:p>
    <w:p w:rsidR="00E00CC7" w:rsidRDefault="00DC2821" w:rsidP="00E56A3D">
      <w:pPr>
        <w:pStyle w:val="BodyText"/>
        <w:jc w:val="center"/>
        <w:rPr>
          <w:rFonts w:ascii="Tahoma" w:hAnsi="Tahoma" w:cstheme="minorHAnsi"/>
          <w:sz w:val="28"/>
          <w:szCs w:val="28"/>
          <w:lang w:val="fr-FR"/>
        </w:rPr>
      </w:pPr>
      <w:r>
        <w:rPr>
          <w:rFonts w:ascii="Tahoma" w:hAnsi="Tahoma" w:cstheme="minorHAnsi"/>
          <w:sz w:val="28"/>
          <w:szCs w:val="28"/>
          <w:lang w:val="fr-FR"/>
        </w:rPr>
        <w:t>Athènes, le 3 novembre 2025</w:t>
      </w:r>
    </w:p>
    <w:p w:rsidR="00E00CC7" w:rsidRDefault="00DC2821">
      <w:pPr>
        <w:pStyle w:val="BodyText"/>
        <w:spacing w:after="160" w:line="259" w:lineRule="auto"/>
        <w:jc w:val="both"/>
        <w:rPr>
          <w:rFonts w:ascii="Tahoma" w:hAnsi="Tahoma" w:cstheme="minorHAnsi"/>
          <w:sz w:val="28"/>
          <w:szCs w:val="28"/>
          <w:lang w:val="fr-FR"/>
        </w:rPr>
      </w:pPr>
      <w:r>
        <w:rPr>
          <w:rFonts w:ascii="Tahoma" w:hAnsi="Tahoma" w:cstheme="minorHAnsi"/>
          <w:sz w:val="28"/>
          <w:szCs w:val="28"/>
          <w:lang w:val="fr-FR"/>
        </w:rPr>
        <w:t xml:space="preserve">Alexandra </w:t>
      </w:r>
      <w:proofErr w:type="spellStart"/>
      <w:r>
        <w:rPr>
          <w:rFonts w:ascii="Tahoma" w:hAnsi="Tahoma" w:cstheme="minorHAnsi"/>
          <w:sz w:val="28"/>
          <w:szCs w:val="28"/>
          <w:lang w:val="fr-FR"/>
        </w:rPr>
        <w:t>Papadopoulou</w:t>
      </w:r>
      <w:proofErr w:type="spellEnd"/>
      <w:r>
        <w:rPr>
          <w:rFonts w:ascii="Tahoma" w:hAnsi="Tahoma" w:cstheme="minorHAnsi"/>
          <w:sz w:val="28"/>
          <w:szCs w:val="28"/>
          <w:lang w:val="fr-FR"/>
        </w:rPr>
        <w:t>, vice-ministre des Affaires étrangères, ministère des Affaires étrangères, République hellénique</w:t>
      </w:r>
    </w:p>
    <w:p w:rsidR="00E00CC7" w:rsidRDefault="00DC2821">
      <w:pPr>
        <w:pStyle w:val="BodyText"/>
        <w:spacing w:after="160" w:line="259" w:lineRule="auto"/>
        <w:jc w:val="both"/>
        <w:rPr>
          <w:rFonts w:ascii="Tahoma" w:hAnsi="Tahoma" w:cstheme="minorHAnsi"/>
          <w:sz w:val="28"/>
          <w:szCs w:val="28"/>
          <w:lang w:val="fr-FR"/>
        </w:rPr>
      </w:pPr>
      <w:r>
        <w:rPr>
          <w:rFonts w:ascii="Tahoma" w:hAnsi="Tahoma" w:cstheme="minorHAnsi"/>
          <w:sz w:val="28"/>
          <w:szCs w:val="28"/>
          <w:lang w:val="fr-FR"/>
        </w:rPr>
        <w:t>Stephen Doughty, député, ministre d'État chargé de l'Europe, de l'Amérique du Nord et des territoires d'outre-mer au ministère des Affaires étrangères, du Commonwealth et du Développement du Royaume-Uni de Grande-Bretagne et d'Irlande du Nord</w:t>
      </w:r>
    </w:p>
    <w:sectPr w:rsidR="00E00CC7" w:rsidSect="00A57CED">
      <w:pgSz w:w="11906" w:h="16838"/>
      <w:pgMar w:top="1440" w:right="1800" w:bottom="1440" w:left="1800" w:header="708"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B6B25" w:rsidRDefault="006B6B25">
      <w:pPr>
        <w:spacing w:after="0" w:line="240" w:lineRule="auto"/>
      </w:pPr>
      <w:r>
        <w:separator/>
      </w:r>
    </w:p>
  </w:endnote>
  <w:endnote w:type="continuationSeparator" w:id="0">
    <w:p w:rsidR="006B6B25" w:rsidRDefault="006B6B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libri"/>
    <w:charset w:val="01"/>
    <w:family w:val="auto"/>
    <w:pitch w:val="default"/>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1"/>
    <w:family w:val="swiss"/>
    <w:pitch w:val="variable"/>
  </w:font>
  <w:font w:name="Arial Unicode MS">
    <w:altName w:val="Arial"/>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B6B25" w:rsidRDefault="006B6B25">
      <w:pPr>
        <w:spacing w:after="0" w:line="240" w:lineRule="auto"/>
      </w:pPr>
      <w:r>
        <w:separator/>
      </w:r>
    </w:p>
  </w:footnote>
  <w:footnote w:type="continuationSeparator" w:id="0">
    <w:p w:rsidR="006B6B25" w:rsidRDefault="006B6B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043D2"/>
    <w:multiLevelType w:val="multilevel"/>
    <w:tmpl w:val="0862D99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7FE05BD"/>
    <w:multiLevelType w:val="multilevel"/>
    <w:tmpl w:val="947E25BA"/>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 w15:restartNumberingAfterBreak="0">
    <w:nsid w:val="32911ADA"/>
    <w:multiLevelType w:val="hybridMultilevel"/>
    <w:tmpl w:val="6324E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EA81FF1"/>
    <w:multiLevelType w:val="multilevel"/>
    <w:tmpl w:val="4E26684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15:restartNumberingAfterBreak="0">
    <w:nsid w:val="71BE67CB"/>
    <w:multiLevelType w:val="hybridMultilevel"/>
    <w:tmpl w:val="DAEE9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DA87264"/>
    <w:multiLevelType w:val="hybridMultilevel"/>
    <w:tmpl w:val="7F44B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CC7"/>
    <w:rsid w:val="001A265C"/>
    <w:rsid w:val="00291A2A"/>
    <w:rsid w:val="003D09C8"/>
    <w:rsid w:val="004148E9"/>
    <w:rsid w:val="006B6B25"/>
    <w:rsid w:val="00726080"/>
    <w:rsid w:val="009471A4"/>
    <w:rsid w:val="00A57CED"/>
    <w:rsid w:val="00B903F2"/>
    <w:rsid w:val="00C21F8C"/>
    <w:rsid w:val="00DC2821"/>
    <w:rsid w:val="00E00CC7"/>
    <w:rsid w:val="00E56A3D"/>
  </w:rsids>
  <m:mathPr>
    <m:mathFont m:val="Cambria Math"/>
    <m:brkBin m:val="before"/>
    <m:brkBinSub m:val="--"/>
    <m:smallFrac m:val="0"/>
    <m:dispDef/>
    <m:lMargin m:val="0"/>
    <m:rMargin m:val="0"/>
    <m:defJc m:val="centerGroup"/>
    <m:wrapIndent m:val="1440"/>
    <m:intLim m:val="subSup"/>
    <m:naryLim m:val="undOvr"/>
  </m:mathPr>
  <w:themeFontLang w:val="el-G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F53A9B3-DC19-4B5A-8487-03E8F19D5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E4893"/>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9E4893"/>
  </w:style>
  <w:style w:type="character" w:customStyle="1" w:styleId="FooterChar">
    <w:name w:val="Footer Char"/>
    <w:basedOn w:val="DefaultParagraphFont"/>
    <w:link w:val="Footer"/>
    <w:uiPriority w:val="99"/>
    <w:qFormat/>
    <w:rsid w:val="009E4893"/>
  </w:style>
  <w:style w:type="character" w:customStyle="1" w:styleId="HeaderChar1">
    <w:name w:val="Header Char1"/>
    <w:basedOn w:val="DefaultParagraphFont"/>
    <w:uiPriority w:val="99"/>
    <w:semiHidden/>
    <w:qFormat/>
    <w:rsid w:val="009E4893"/>
  </w:style>
  <w:style w:type="character" w:customStyle="1" w:styleId="FooterChar1">
    <w:name w:val="Footer Char1"/>
    <w:basedOn w:val="DefaultParagraphFont"/>
    <w:uiPriority w:val="99"/>
    <w:semiHidden/>
    <w:qFormat/>
    <w:rsid w:val="009E4893"/>
  </w:style>
  <w:style w:type="character" w:customStyle="1" w:styleId="BalloonTextChar">
    <w:name w:val="Balloon Text Char"/>
    <w:basedOn w:val="DefaultParagraphFont"/>
    <w:link w:val="BalloonText"/>
    <w:uiPriority w:val="99"/>
    <w:semiHidden/>
    <w:qFormat/>
    <w:rsid w:val="009E4893"/>
    <w:rPr>
      <w:rFonts w:ascii="Segoe UI" w:hAnsi="Segoe UI" w:cs="Segoe UI"/>
      <w:sz w:val="18"/>
      <w:szCs w:val="18"/>
    </w:rPr>
  </w:style>
  <w:style w:type="character" w:styleId="CommentReference">
    <w:name w:val="annotation reference"/>
    <w:basedOn w:val="DefaultParagraphFont"/>
    <w:uiPriority w:val="99"/>
    <w:semiHidden/>
    <w:unhideWhenUsed/>
    <w:qFormat/>
    <w:rsid w:val="004F12E2"/>
    <w:rPr>
      <w:sz w:val="16"/>
      <w:szCs w:val="16"/>
    </w:rPr>
  </w:style>
  <w:style w:type="character" w:customStyle="1" w:styleId="CommentTextChar">
    <w:name w:val="Comment Text Char"/>
    <w:basedOn w:val="DefaultParagraphFont"/>
    <w:link w:val="CommentText"/>
    <w:uiPriority w:val="99"/>
    <w:semiHidden/>
    <w:qFormat/>
    <w:rsid w:val="004F12E2"/>
    <w:rPr>
      <w:sz w:val="20"/>
      <w:szCs w:val="20"/>
    </w:rPr>
  </w:style>
  <w:style w:type="character" w:customStyle="1" w:styleId="CommentSubjectChar">
    <w:name w:val="Comment Subject Char"/>
    <w:basedOn w:val="CommentTextChar"/>
    <w:link w:val="CommentSubject"/>
    <w:uiPriority w:val="99"/>
    <w:semiHidden/>
    <w:qFormat/>
    <w:rsid w:val="004F12E2"/>
    <w:rPr>
      <w:b/>
      <w:bCs/>
      <w:sz w:val="20"/>
      <w:szCs w:val="20"/>
    </w:rPr>
  </w:style>
  <w:style w:type="character" w:customStyle="1" w:styleId="FootnoteTextChar">
    <w:name w:val="Footnote Text Char"/>
    <w:basedOn w:val="DefaultParagraphFont"/>
    <w:link w:val="FootnoteText"/>
    <w:uiPriority w:val="99"/>
    <w:semiHidden/>
    <w:qFormat/>
    <w:rsid w:val="004F12E2"/>
    <w:rPr>
      <w:sz w:val="20"/>
      <w:szCs w:val="20"/>
    </w:rPr>
  </w:style>
  <w:style w:type="character" w:customStyle="1" w:styleId="FootnoteCharacters">
    <w:name w:val="Footnote Characters"/>
    <w:basedOn w:val="DefaultParagraphFont"/>
    <w:uiPriority w:val="99"/>
    <w:semiHidden/>
    <w:unhideWhenUsed/>
    <w:qFormat/>
    <w:rsid w:val="004F12E2"/>
    <w:rPr>
      <w:vertAlign w:val="superscript"/>
    </w:rPr>
  </w:style>
  <w:style w:type="character" w:styleId="FootnoteReference">
    <w:name w:val="footnote reference"/>
    <w:rPr>
      <w:vertAlign w:val="superscript"/>
    </w:rPr>
  </w:style>
  <w:style w:type="character" w:customStyle="1" w:styleId="Bullets">
    <w:name w:val="Bullets"/>
    <w:qFormat/>
    <w:rPr>
      <w:rFonts w:ascii="OpenSymbol" w:eastAsia="OpenSymbol" w:hAnsi="OpenSymbol" w:cs="OpenSymbol"/>
    </w:rPr>
  </w:style>
  <w:style w:type="paragraph" w:customStyle="1" w:styleId="Heading">
    <w:name w:val="Heading"/>
    <w:basedOn w:val="Normal"/>
    <w:next w:val="BodyText"/>
    <w:qFormat/>
    <w:pPr>
      <w:keepNext/>
      <w:spacing w:before="240" w:after="120"/>
    </w:pPr>
    <w:rPr>
      <w:rFonts w:ascii="Liberation Sans" w:eastAsia="Arial Unicode MS" w:hAnsi="Liberation Sans" w:cs="Arial Unicode MS"/>
      <w:sz w:val="28"/>
      <w:szCs w:val="28"/>
    </w:rPr>
  </w:style>
  <w:style w:type="paragraph" w:styleId="BodyText">
    <w:name w:val="Body Text"/>
    <w:basedOn w:val="Normal"/>
    <w:pPr>
      <w:spacing w:after="140" w:line="276" w:lineRule="auto"/>
    </w:pPr>
  </w:style>
  <w:style w:type="paragraph" w:styleId="List">
    <w:name w:val="List"/>
    <w:basedOn w:val="BodyText"/>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customStyle="1" w:styleId="Index">
    <w:name w:val="Index"/>
    <w:basedOn w:val="Normal"/>
    <w:qFormat/>
    <w:pPr>
      <w:suppressLineNumbers/>
    </w:pPr>
    <w:rPr>
      <w:rFonts w:cs="Arial Unicode MS"/>
    </w:rPr>
  </w:style>
  <w:style w:type="paragraph" w:customStyle="1" w:styleId="HeaderandFooter">
    <w:name w:val="Header and Footer"/>
    <w:basedOn w:val="Normal"/>
    <w:qFormat/>
  </w:style>
  <w:style w:type="paragraph" w:styleId="Header">
    <w:name w:val="header"/>
    <w:basedOn w:val="Normal"/>
    <w:link w:val="HeaderChar"/>
    <w:uiPriority w:val="99"/>
    <w:unhideWhenUsed/>
    <w:rsid w:val="009E4893"/>
    <w:pPr>
      <w:tabs>
        <w:tab w:val="center" w:pos="4153"/>
        <w:tab w:val="right" w:pos="8306"/>
      </w:tabs>
      <w:spacing w:after="0" w:line="240" w:lineRule="auto"/>
    </w:pPr>
  </w:style>
  <w:style w:type="paragraph" w:styleId="Footer">
    <w:name w:val="footer"/>
    <w:basedOn w:val="Normal"/>
    <w:link w:val="FooterChar"/>
    <w:uiPriority w:val="99"/>
    <w:unhideWhenUsed/>
    <w:rsid w:val="009E4893"/>
    <w:pPr>
      <w:tabs>
        <w:tab w:val="center" w:pos="4153"/>
        <w:tab w:val="right" w:pos="8306"/>
      </w:tabs>
      <w:spacing w:after="0" w:line="240" w:lineRule="auto"/>
    </w:pPr>
  </w:style>
  <w:style w:type="paragraph" w:styleId="BalloonText">
    <w:name w:val="Balloon Text"/>
    <w:basedOn w:val="Normal"/>
    <w:link w:val="BalloonTextChar"/>
    <w:uiPriority w:val="99"/>
    <w:semiHidden/>
    <w:unhideWhenUsed/>
    <w:qFormat/>
    <w:rsid w:val="009E4893"/>
    <w:pPr>
      <w:spacing w:after="0" w:line="240" w:lineRule="auto"/>
    </w:pPr>
    <w:rPr>
      <w:rFonts w:ascii="Segoe UI" w:hAnsi="Segoe UI" w:cs="Segoe UI"/>
      <w:sz w:val="18"/>
      <w:szCs w:val="18"/>
    </w:rPr>
  </w:style>
  <w:style w:type="paragraph" w:styleId="CommentText">
    <w:name w:val="annotation text"/>
    <w:basedOn w:val="Normal"/>
    <w:link w:val="CommentTextChar"/>
    <w:uiPriority w:val="99"/>
    <w:unhideWhenUsed/>
    <w:qFormat/>
    <w:rsid w:val="004F12E2"/>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4F12E2"/>
    <w:rPr>
      <w:b/>
      <w:bCs/>
    </w:rPr>
  </w:style>
  <w:style w:type="paragraph" w:styleId="FootnoteText">
    <w:name w:val="footnote text"/>
    <w:basedOn w:val="Normal"/>
    <w:link w:val="FootnoteTextChar"/>
    <w:uiPriority w:val="99"/>
    <w:semiHidden/>
    <w:unhideWhenUsed/>
    <w:rsid w:val="004F12E2"/>
    <w:pPr>
      <w:spacing w:after="0" w:line="240" w:lineRule="auto"/>
    </w:pPr>
    <w:rPr>
      <w:sz w:val="20"/>
      <w:szCs w:val="20"/>
    </w:rPr>
  </w:style>
  <w:style w:type="paragraph" w:styleId="Revision">
    <w:name w:val="Revision"/>
    <w:uiPriority w:val="99"/>
    <w:semiHidden/>
    <w:qFormat/>
    <w:rsid w:val="00994556"/>
  </w:style>
  <w:style w:type="paragraph" w:styleId="ListParagraph">
    <w:name w:val="List Paragraph"/>
    <w:basedOn w:val="Normal"/>
    <w:uiPriority w:val="34"/>
    <w:qFormat/>
    <w:rsid w:val="004E07BE"/>
    <w:pPr>
      <w:ind w:left="720"/>
      <w:contextualSpacing/>
    </w:pPr>
  </w:style>
  <w:style w:type="paragraph" w:customStyle="1" w:styleId="FrameContents">
    <w:name w:val="Frame Contents"/>
    <w:basedOn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3355</Words>
  <Characters>19128</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Ministry of Foreign Affairs</Company>
  <LinksUpToDate>false</LinksUpToDate>
  <CharactersWithSpaces>22439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s.holi@ypex.gr</dc:creator>
  <dc:description/>
  <cp:lastModifiedBy>orestis pip</cp:lastModifiedBy>
  <cp:revision>2</cp:revision>
  <cp:lastPrinted>2025-10-31T12:21:00Z</cp:lastPrinted>
  <dcterms:created xsi:type="dcterms:W3CDTF">2025-12-03T13:14:00Z</dcterms:created>
  <dcterms:modified xsi:type="dcterms:W3CDTF">2025-12-03T13:14:00Z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FontProps">
    <vt:lpwstr>#000000,10,Calibri</vt:lpwstr>
  </property>
  <property fmtid="{D5CDD505-2E9C-101B-9397-08002B2CF9AE}" pid="3" name="ClassificationContentMarkingFooterShapeIds">
    <vt:lpwstr>16be930d,4d4e68ce,15853</vt:lpwstr>
  </property>
  <property fmtid="{D5CDD505-2E9C-101B-9397-08002B2CF9AE}" pid="4" name="ClassificationContentMarkingFooterText">
    <vt:lpwstr>OFFICIAL</vt:lpwstr>
  </property>
  <property fmtid="{D5CDD505-2E9C-101B-9397-08002B2CF9AE}" pid="5" name="ClassificationContentMarkingHeaderFontProps">
    <vt:lpwstr>#000000,10,Calibri</vt:lpwstr>
  </property>
  <property fmtid="{D5CDD505-2E9C-101B-9397-08002B2CF9AE}" pid="6" name="ClassificationContentMarkingHeaderShapeIds">
    <vt:lpwstr>60a084b5,183ca200,6a2f5c67</vt:lpwstr>
  </property>
  <property fmtid="{D5CDD505-2E9C-101B-9397-08002B2CF9AE}" pid="7" name="ClassificationContentMarkingHeaderText">
    <vt:lpwstr>OFFICIAL</vt:lpwstr>
  </property>
</Properties>
</file>